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48592" w14:textId="77777777" w:rsidR="00F97E2C" w:rsidRDefault="007E1C5E" w:rsidP="007E1C5E">
      <w:pPr>
        <w:jc w:val="center"/>
        <w:rPr>
          <w:rFonts w:ascii="Comic Sans MS" w:hAnsi="Comic Sans MS"/>
          <w:b/>
          <w:i/>
          <w:sz w:val="28"/>
          <w:szCs w:val="28"/>
        </w:rPr>
      </w:pPr>
      <w:r>
        <w:rPr>
          <w:rFonts w:ascii="Comic Sans MS" w:hAnsi="Comic Sans MS"/>
          <w:sz w:val="28"/>
          <w:szCs w:val="28"/>
        </w:rPr>
        <w:t xml:space="preserve">Unit of Study:  </w:t>
      </w:r>
      <w:r>
        <w:rPr>
          <w:rFonts w:ascii="Comic Sans MS" w:hAnsi="Comic Sans MS"/>
          <w:b/>
          <w:i/>
          <w:sz w:val="28"/>
          <w:szCs w:val="28"/>
        </w:rPr>
        <w:t>Writing Reviews</w:t>
      </w:r>
    </w:p>
    <w:p w14:paraId="66B509C7" w14:textId="0AC57B9F" w:rsidR="007E1C5E" w:rsidRDefault="00A2197A" w:rsidP="007E1C5E">
      <w:pPr>
        <w:jc w:val="center"/>
        <w:rPr>
          <w:rFonts w:ascii="Comic Sans MS" w:hAnsi="Comic Sans MS"/>
          <w:b/>
        </w:rPr>
      </w:pPr>
      <w:r>
        <w:rPr>
          <w:rFonts w:ascii="Comic Sans MS" w:hAnsi="Comic Sans MS"/>
          <w:b/>
        </w:rPr>
        <w:t>Explaining Judgments in Convincing Ways</w:t>
      </w:r>
    </w:p>
    <w:p w14:paraId="4A450C08" w14:textId="77777777" w:rsidR="007E1C5E" w:rsidRDefault="007E1C5E" w:rsidP="007E1C5E">
      <w:pPr>
        <w:jc w:val="center"/>
        <w:rPr>
          <w:rFonts w:ascii="Comic Sans MS" w:hAnsi="Comic Sans MS"/>
        </w:rPr>
      </w:pPr>
    </w:p>
    <w:tbl>
      <w:tblPr>
        <w:tblStyle w:val="TableGrid"/>
        <w:tblW w:w="0" w:type="auto"/>
        <w:tblLook w:val="04A0" w:firstRow="1" w:lastRow="0" w:firstColumn="1" w:lastColumn="0" w:noHBand="0" w:noVBand="1"/>
      </w:tblPr>
      <w:tblGrid>
        <w:gridCol w:w="10152"/>
      </w:tblGrid>
      <w:tr w:rsidR="007E1C5E" w14:paraId="43187951" w14:textId="77777777" w:rsidTr="007E1C5E">
        <w:tc>
          <w:tcPr>
            <w:tcW w:w="10152" w:type="dxa"/>
          </w:tcPr>
          <w:p w14:paraId="55EB6898" w14:textId="4E6CE935" w:rsidR="007E1C5E" w:rsidRPr="00A2197A" w:rsidRDefault="00A2197A" w:rsidP="007E1C5E">
            <w:pPr>
              <w:rPr>
                <w:rFonts w:ascii="Comic Sans MS" w:hAnsi="Comic Sans MS"/>
              </w:rPr>
            </w:pPr>
            <w:r>
              <w:rPr>
                <w:rFonts w:ascii="Comic Sans MS" w:hAnsi="Comic Sans MS"/>
                <w:b/>
              </w:rPr>
              <w:t xml:space="preserve">Connection: </w:t>
            </w:r>
            <w:r>
              <w:rPr>
                <w:rFonts w:ascii="Comic Sans MS" w:hAnsi="Comic Sans MS"/>
              </w:rPr>
              <w:t>Ask children to show off the item they are writing opinions about, and help them remember their reasons for their opinion by talking to their partner.</w:t>
            </w:r>
          </w:p>
        </w:tc>
      </w:tr>
      <w:tr w:rsidR="00067624" w14:paraId="306FDEED" w14:textId="77777777" w:rsidTr="007E1C5E">
        <w:tc>
          <w:tcPr>
            <w:tcW w:w="10152" w:type="dxa"/>
          </w:tcPr>
          <w:p w14:paraId="1CF2FA0F" w14:textId="5909EA65" w:rsidR="00067624" w:rsidRPr="00A2197A" w:rsidRDefault="00A2197A" w:rsidP="007E1C5E">
            <w:pPr>
              <w:rPr>
                <w:rFonts w:ascii="Comic Sans MS" w:hAnsi="Comic Sans MS"/>
              </w:rPr>
            </w:pPr>
            <w:r>
              <w:rPr>
                <w:rFonts w:ascii="Comic Sans MS" w:hAnsi="Comic Sans MS"/>
                <w:b/>
              </w:rPr>
              <w:t>Name the teaching point:</w:t>
            </w:r>
            <w:r>
              <w:rPr>
                <w:rFonts w:ascii="Comic Sans MS" w:hAnsi="Comic Sans MS"/>
              </w:rPr>
              <w:t xml:space="preserve"> “Today I want to teach you that when you have an opinion, when you judge something, you need to give </w:t>
            </w:r>
            <w:r>
              <w:rPr>
                <w:rFonts w:ascii="Comic Sans MS" w:hAnsi="Comic Sans MS"/>
                <w:i/>
              </w:rPr>
              <w:t>a couple of reasons</w:t>
            </w:r>
            <w:r>
              <w:rPr>
                <w:rFonts w:ascii="Comic Sans MS" w:hAnsi="Comic Sans MS"/>
              </w:rPr>
              <w:t xml:space="preserve">, not just one, and say details about each reason.  If you write, ‘For example . . </w:t>
            </w:r>
            <w:proofErr w:type="gramStart"/>
            <w:r>
              <w:rPr>
                <w:rFonts w:ascii="Comic Sans MS" w:hAnsi="Comic Sans MS"/>
              </w:rPr>
              <w:t>. .</w:t>
            </w:r>
            <w:proofErr w:type="gramEnd"/>
            <w:r>
              <w:rPr>
                <w:rFonts w:ascii="Comic Sans MS" w:hAnsi="Comic Sans MS"/>
              </w:rPr>
              <w:t>’ or ‘I think that because . . . ,’ then that helps you bring in some details.</w:t>
            </w:r>
          </w:p>
        </w:tc>
      </w:tr>
      <w:tr w:rsidR="007E1C5E" w14:paraId="693DAC04" w14:textId="77777777" w:rsidTr="007E1C5E">
        <w:tc>
          <w:tcPr>
            <w:tcW w:w="10152" w:type="dxa"/>
          </w:tcPr>
          <w:p w14:paraId="4EC7FCE5" w14:textId="4B9D51DF" w:rsidR="007E1C5E" w:rsidRPr="006928FD" w:rsidRDefault="00A2197A" w:rsidP="007E1C5E">
            <w:pPr>
              <w:rPr>
                <w:rFonts w:ascii="Comic Sans MS" w:hAnsi="Comic Sans MS"/>
                <w:i/>
              </w:rPr>
            </w:pPr>
            <w:r>
              <w:rPr>
                <w:rFonts w:ascii="Comic Sans MS" w:hAnsi="Comic Sans MS"/>
                <w:b/>
              </w:rPr>
              <w:t xml:space="preserve">Teaching:  </w:t>
            </w:r>
            <w:r>
              <w:rPr>
                <w:rFonts w:ascii="Comic Sans MS" w:hAnsi="Comic Sans MS"/>
              </w:rPr>
              <w:t>Retell an argument with no reasons, and contrast it with an argument with reasons.  Let children know that strong arguments have reasons</w:t>
            </w:r>
            <w:r w:rsidR="006928FD">
              <w:rPr>
                <w:rFonts w:ascii="Comic Sans MS" w:hAnsi="Comic Sans MS"/>
              </w:rPr>
              <w:t xml:space="preserve">.  (Use the example of a family deciding where to go out to dinner: pizza, tacos, why; getting louder and louder is not the way to win the argument.  Use the graphic organizer of your hand – idea in the palm, fingers for reasons.) </w:t>
            </w:r>
            <w:r w:rsidR="006928FD">
              <w:rPr>
                <w:rFonts w:ascii="Comic Sans MS" w:hAnsi="Comic Sans MS"/>
                <w:i/>
              </w:rPr>
              <w:t xml:space="preserve">As you teach, place the first 3 post-its on the </w:t>
            </w:r>
            <w:r w:rsidR="00BF11E4">
              <w:rPr>
                <w:rFonts w:ascii="Comic Sans MS" w:hAnsi="Comic Sans MS"/>
                <w:b/>
                <w:i/>
              </w:rPr>
              <w:t xml:space="preserve">Convince Your Readers! </w:t>
            </w:r>
            <w:proofErr w:type="gramStart"/>
            <w:r w:rsidR="006928FD">
              <w:rPr>
                <w:rFonts w:ascii="Comic Sans MS" w:hAnsi="Comic Sans MS"/>
                <w:i/>
              </w:rPr>
              <w:t>anchor</w:t>
            </w:r>
            <w:proofErr w:type="gramEnd"/>
            <w:r w:rsidR="006928FD">
              <w:rPr>
                <w:rFonts w:ascii="Comic Sans MS" w:hAnsi="Comic Sans MS"/>
                <w:i/>
              </w:rPr>
              <w:t xml:space="preserve"> chart.</w:t>
            </w:r>
            <w:r w:rsidR="00BF11E4">
              <w:rPr>
                <w:rFonts w:ascii="Comic Sans MS" w:hAnsi="Comic Sans MS"/>
                <w:i/>
              </w:rPr>
              <w:t xml:space="preserve"> (See page 14.)</w:t>
            </w:r>
            <w:bookmarkStart w:id="0" w:name="_GoBack"/>
            <w:bookmarkEnd w:id="0"/>
          </w:p>
        </w:tc>
      </w:tr>
      <w:tr w:rsidR="007E1C5E" w14:paraId="6BF35C3A" w14:textId="77777777" w:rsidTr="007E1C5E">
        <w:tc>
          <w:tcPr>
            <w:tcW w:w="10152" w:type="dxa"/>
          </w:tcPr>
          <w:p w14:paraId="7DFCF296" w14:textId="1C210C89" w:rsidR="007E1C5E" w:rsidRPr="006928FD" w:rsidRDefault="006928FD" w:rsidP="007E1C5E">
            <w:pPr>
              <w:rPr>
                <w:rFonts w:ascii="Comic Sans MS" w:hAnsi="Comic Sans MS"/>
              </w:rPr>
            </w:pPr>
            <w:r>
              <w:rPr>
                <w:rFonts w:ascii="Comic Sans MS" w:hAnsi="Comic Sans MS"/>
                <w:b/>
              </w:rPr>
              <w:t xml:space="preserve">Active Engagement: </w:t>
            </w:r>
            <w:r>
              <w:rPr>
                <w:rFonts w:ascii="Comic Sans MS" w:hAnsi="Comic Sans MS"/>
              </w:rPr>
              <w:t>Divide children into groups (4 total).  Ask each group to come up with and say more about their reasons for judging something as best. (Use teacher collection.) Pretend to be a TV reporter, and interview a representative from one of the groups to learn what that group has selected as “Best in Show” and why.  If children seem to need more scaffolding to do this well, you might invite the whole class to help the first judge say more, or you might tap other “judges” (probably just one more).</w:t>
            </w:r>
          </w:p>
        </w:tc>
      </w:tr>
      <w:tr w:rsidR="007E1C5E" w14:paraId="370508CE" w14:textId="77777777" w:rsidTr="007E1C5E">
        <w:tc>
          <w:tcPr>
            <w:tcW w:w="10152" w:type="dxa"/>
          </w:tcPr>
          <w:p w14:paraId="72260119" w14:textId="68F85C02" w:rsidR="007E1C5E" w:rsidRPr="006928FD" w:rsidRDefault="006928FD" w:rsidP="007E1C5E">
            <w:pPr>
              <w:rPr>
                <w:rFonts w:ascii="Comic Sans MS" w:hAnsi="Comic Sans MS"/>
              </w:rPr>
            </w:pPr>
            <w:r>
              <w:rPr>
                <w:rFonts w:ascii="Comic Sans MS" w:hAnsi="Comic Sans MS"/>
                <w:b/>
              </w:rPr>
              <w:t>Link:</w:t>
            </w:r>
            <w:r>
              <w:rPr>
                <w:rFonts w:ascii="Comic Sans MS" w:hAnsi="Comic Sans MS"/>
              </w:rPr>
              <w:t xml:space="preserve"> Ask children to think back on what they’ve learned about writing in not only in the past few days but also in the past few months, and decide what to do to improve their writing and thinking today. (Have revision strips available for this work.)</w:t>
            </w:r>
          </w:p>
        </w:tc>
      </w:tr>
      <w:tr w:rsidR="00067624" w14:paraId="56AFFB7D" w14:textId="77777777" w:rsidTr="007E1C5E">
        <w:tc>
          <w:tcPr>
            <w:tcW w:w="10152" w:type="dxa"/>
          </w:tcPr>
          <w:p w14:paraId="572F8FE4" w14:textId="42699EA8" w:rsidR="00067624" w:rsidRPr="006928FD" w:rsidRDefault="006928FD" w:rsidP="007E1C5E">
            <w:pPr>
              <w:rPr>
                <w:rFonts w:ascii="Comic Sans MS" w:hAnsi="Comic Sans MS"/>
              </w:rPr>
            </w:pPr>
            <w:r>
              <w:rPr>
                <w:rFonts w:ascii="Comic Sans MS" w:hAnsi="Comic Sans MS"/>
                <w:b/>
              </w:rPr>
              <w:t xml:space="preserve">Mid-Workshop Teaching:  </w:t>
            </w:r>
            <w:r>
              <w:rPr>
                <w:rFonts w:ascii="Comic Sans MS" w:hAnsi="Comic Sans MS"/>
              </w:rPr>
              <w:t>Detailed observations are more persuasive than sweeping generalities. (</w:t>
            </w:r>
            <w:proofErr w:type="gramStart"/>
            <w:r>
              <w:rPr>
                <w:rFonts w:ascii="Comic Sans MS" w:hAnsi="Comic Sans MS"/>
              </w:rPr>
              <w:t>See page</w:t>
            </w:r>
            <w:proofErr w:type="gramEnd"/>
            <w:r>
              <w:rPr>
                <w:rFonts w:ascii="Comic Sans MS" w:hAnsi="Comic Sans MS"/>
              </w:rPr>
              <w:t xml:space="preserve"> 17 for an example.)</w:t>
            </w:r>
          </w:p>
        </w:tc>
      </w:tr>
      <w:tr w:rsidR="00067624" w14:paraId="6773598F" w14:textId="77777777" w:rsidTr="007E1C5E">
        <w:tc>
          <w:tcPr>
            <w:tcW w:w="10152" w:type="dxa"/>
          </w:tcPr>
          <w:p w14:paraId="384FC633" w14:textId="532664FE" w:rsidR="00067624" w:rsidRPr="006928FD" w:rsidRDefault="006928FD" w:rsidP="007E1C5E">
            <w:pPr>
              <w:rPr>
                <w:rFonts w:ascii="Comic Sans MS" w:hAnsi="Comic Sans MS"/>
              </w:rPr>
            </w:pPr>
            <w:r>
              <w:rPr>
                <w:rFonts w:ascii="Comic Sans MS" w:hAnsi="Comic Sans MS"/>
                <w:b/>
              </w:rPr>
              <w:t>Share:</w:t>
            </w:r>
            <w:r>
              <w:rPr>
                <w:rFonts w:ascii="Comic Sans MS" w:hAnsi="Comic Sans MS"/>
              </w:rPr>
              <w:t xml:space="preserve"> Have partners sit together around the edges of the rug, creating a “fishbowl” with one partnership in the middle.  Coach this partnership as they talk about their writing work today.</w:t>
            </w:r>
          </w:p>
        </w:tc>
      </w:tr>
    </w:tbl>
    <w:p w14:paraId="4F3FA448" w14:textId="77777777" w:rsidR="007E1C5E" w:rsidRPr="007E1C5E" w:rsidRDefault="007E1C5E" w:rsidP="007E1C5E">
      <w:pPr>
        <w:jc w:val="center"/>
        <w:rPr>
          <w:rFonts w:ascii="Comic Sans MS" w:hAnsi="Comic Sans MS"/>
        </w:rPr>
      </w:pPr>
    </w:p>
    <w:sectPr w:rsidR="007E1C5E" w:rsidRPr="007E1C5E" w:rsidSect="007E1C5E">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5E"/>
    <w:rsid w:val="00034FD7"/>
    <w:rsid w:val="00067624"/>
    <w:rsid w:val="006928FD"/>
    <w:rsid w:val="007E1C5E"/>
    <w:rsid w:val="00A2197A"/>
    <w:rsid w:val="00BF11E4"/>
    <w:rsid w:val="00E10971"/>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F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315</Words>
  <Characters>1796</Characters>
  <Application>Microsoft Macintosh Word</Application>
  <DocSecurity>0</DocSecurity>
  <Lines>14</Lines>
  <Paragraphs>4</Paragraphs>
  <ScaleCrop>false</ScaleCrop>
  <Company>Plymouth Public Schools</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3</cp:revision>
  <cp:lastPrinted>2015-03-18T20:49:00Z</cp:lastPrinted>
  <dcterms:created xsi:type="dcterms:W3CDTF">2015-03-19T00:51:00Z</dcterms:created>
  <dcterms:modified xsi:type="dcterms:W3CDTF">2015-03-19T00:55:00Z</dcterms:modified>
</cp:coreProperties>
</file>