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1169" w14:textId="2DC2D880" w:rsidR="00F571EC" w:rsidRPr="00046758" w:rsidRDefault="00A85FAC" w:rsidP="00046758">
      <w:pPr>
        <w:pStyle w:val="Heading6"/>
        <w:jc w:val="left"/>
        <w:rPr>
          <w:i/>
        </w:rPr>
      </w:pPr>
      <w:r>
        <w:t xml:space="preserve">Unit of </w:t>
      </w:r>
      <w:r w:rsidR="009E44B0">
        <w:t>Study: Opinion Writing:  Grade 1</w:t>
      </w:r>
      <w:r>
        <w:rPr>
          <w:b w:val="0"/>
        </w:rPr>
        <w:t xml:space="preserve">      </w:t>
      </w:r>
      <w:r w:rsidR="009E44B0">
        <w:rPr>
          <w:b w:val="0"/>
          <w:i/>
        </w:rPr>
        <w:t>Writing Reviews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90"/>
        <w:gridCol w:w="3510"/>
        <w:gridCol w:w="3078"/>
      </w:tblGrid>
      <w:tr w:rsidR="00722E42" w14:paraId="4E23A121" w14:textId="77777777" w:rsidTr="00722E42">
        <w:tc>
          <w:tcPr>
            <w:tcW w:w="3978" w:type="dxa"/>
          </w:tcPr>
          <w:p w14:paraId="33379F05" w14:textId="02B78054" w:rsidR="00A85FAC" w:rsidRDefault="00A85FAC" w:rsidP="00A85FAC">
            <w:pPr>
              <w:pStyle w:val="Heading2"/>
            </w:pPr>
            <w:r>
              <w:t xml:space="preserve">Prior to the start of the unit:  </w:t>
            </w:r>
          </w:p>
          <w:p w14:paraId="77DC4D4B" w14:textId="77777777" w:rsidR="00A85FAC" w:rsidRPr="007C4B0F" w:rsidRDefault="00A85FAC" w:rsidP="007C4B0F">
            <w:pPr>
              <w:pStyle w:val="ListParagraph"/>
              <w:numPr>
                <w:ilvl w:val="0"/>
                <w:numId w:val="7"/>
              </w:numPr>
              <w:rPr>
                <w:rFonts w:ascii="Comic Sans MS" w:hAnsi="Comic Sans MS"/>
              </w:rPr>
            </w:pPr>
            <w:r w:rsidRPr="007C4B0F">
              <w:rPr>
                <w:rFonts w:ascii="Comic Sans MS" w:hAnsi="Comic Sans MS"/>
              </w:rPr>
              <w:t>Pre-Assessment – Opinion Writing (found on the literacy coach website)</w:t>
            </w:r>
            <w:r w:rsidR="008D11F1" w:rsidRPr="007C4B0F">
              <w:rPr>
                <w:rFonts w:ascii="Comic Sans MS" w:hAnsi="Comic Sans MS"/>
              </w:rPr>
              <w:t>;</w:t>
            </w:r>
          </w:p>
          <w:p w14:paraId="022FE6D7" w14:textId="29629C6D" w:rsidR="008D11F1" w:rsidRPr="007C4B0F" w:rsidRDefault="008D11F1" w:rsidP="007C4B0F">
            <w:pPr>
              <w:pStyle w:val="ListParagraph"/>
              <w:numPr>
                <w:ilvl w:val="0"/>
                <w:numId w:val="7"/>
              </w:numPr>
              <w:rPr>
                <w:rFonts w:ascii="Comic Sans MS" w:hAnsi="Comic Sans MS"/>
              </w:rPr>
            </w:pPr>
            <w:r w:rsidRPr="007C4B0F">
              <w:rPr>
                <w:rFonts w:ascii="Comic Sans MS" w:hAnsi="Comic Sans MS"/>
              </w:rPr>
              <w:t xml:space="preserve">You may want to immerse students in persuasion by reading books like </w:t>
            </w:r>
            <w:r w:rsidRPr="007C4B0F">
              <w:rPr>
                <w:rFonts w:ascii="Comic Sans MS" w:hAnsi="Comic Sans MS"/>
                <w:i/>
              </w:rPr>
              <w:t>Earrings</w:t>
            </w:r>
            <w:r w:rsidRPr="007C4B0F">
              <w:rPr>
                <w:rFonts w:ascii="Comic Sans MS" w:hAnsi="Comic Sans MS"/>
              </w:rPr>
              <w:t xml:space="preserve"> by Judith </w:t>
            </w:r>
            <w:proofErr w:type="spellStart"/>
            <w:r w:rsidRPr="007C4B0F">
              <w:rPr>
                <w:rFonts w:ascii="Comic Sans MS" w:hAnsi="Comic Sans MS"/>
              </w:rPr>
              <w:t>Viorst</w:t>
            </w:r>
            <w:proofErr w:type="spellEnd"/>
            <w:r w:rsidRPr="007C4B0F">
              <w:rPr>
                <w:rFonts w:ascii="Comic Sans MS" w:hAnsi="Comic Sans MS"/>
              </w:rPr>
              <w:t xml:space="preserve">, the </w:t>
            </w:r>
            <w:proofErr w:type="gramStart"/>
            <w:r w:rsidRPr="007C4B0F">
              <w:rPr>
                <w:rFonts w:ascii="Comic Sans MS" w:hAnsi="Comic Sans MS"/>
                <w:i/>
              </w:rPr>
              <w:t xml:space="preserve">Pigeon </w:t>
            </w:r>
            <w:r w:rsidRPr="007C4B0F">
              <w:rPr>
                <w:rFonts w:ascii="Comic Sans MS" w:hAnsi="Comic Sans MS"/>
              </w:rPr>
              <w:t xml:space="preserve"> books</w:t>
            </w:r>
            <w:proofErr w:type="gramEnd"/>
            <w:r w:rsidRPr="007C4B0F">
              <w:rPr>
                <w:rFonts w:ascii="Comic Sans MS" w:hAnsi="Comic Sans MS"/>
              </w:rPr>
              <w:t xml:space="preserve"> by Mo </w:t>
            </w:r>
            <w:proofErr w:type="spellStart"/>
            <w:r w:rsidRPr="007C4B0F">
              <w:rPr>
                <w:rFonts w:ascii="Comic Sans MS" w:hAnsi="Comic Sans MS"/>
              </w:rPr>
              <w:t>Willems</w:t>
            </w:r>
            <w:proofErr w:type="spellEnd"/>
            <w:r w:rsidRPr="007C4B0F">
              <w:rPr>
                <w:rFonts w:ascii="Comic Sans MS" w:hAnsi="Comic Sans MS"/>
              </w:rPr>
              <w:t xml:space="preserve">, or </w:t>
            </w:r>
            <w:r w:rsidRPr="007C4B0F">
              <w:rPr>
                <w:rFonts w:ascii="Comic Sans MS" w:hAnsi="Comic Sans MS"/>
                <w:i/>
              </w:rPr>
              <w:t>A Pet for Petunia</w:t>
            </w:r>
            <w:r w:rsidRPr="007C4B0F">
              <w:rPr>
                <w:rFonts w:ascii="Comic Sans MS" w:hAnsi="Comic Sans MS"/>
              </w:rPr>
              <w:t xml:space="preserve"> by Paul </w:t>
            </w:r>
            <w:proofErr w:type="spellStart"/>
            <w:r w:rsidRPr="007C4B0F">
              <w:rPr>
                <w:rFonts w:ascii="Comic Sans MS" w:hAnsi="Comic Sans MS"/>
              </w:rPr>
              <w:t>Schmid</w:t>
            </w:r>
            <w:proofErr w:type="spellEnd"/>
            <w:r w:rsidRPr="007C4B0F">
              <w:rPr>
                <w:rFonts w:ascii="Comic Sans MS" w:hAnsi="Comic Sans MS"/>
              </w:rPr>
              <w:t>.</w:t>
            </w:r>
          </w:p>
          <w:p w14:paraId="7789093B" w14:textId="77777777" w:rsidR="00A85FAC" w:rsidRPr="007C4B0F" w:rsidRDefault="008D11F1" w:rsidP="007C4B0F">
            <w:pPr>
              <w:pStyle w:val="ListParagraph"/>
              <w:numPr>
                <w:ilvl w:val="0"/>
                <w:numId w:val="7"/>
              </w:numPr>
              <w:rPr>
                <w:rFonts w:ascii="Comic Sans MS" w:hAnsi="Comic Sans MS"/>
              </w:rPr>
            </w:pPr>
            <w:r w:rsidRPr="007C4B0F">
              <w:rPr>
                <w:rFonts w:ascii="Comic Sans MS" w:hAnsi="Comic Sans MS"/>
              </w:rPr>
              <w:t>EITHER: invite students to bring in collections from home</w:t>
            </w:r>
            <w:r w:rsidR="007C4B0F" w:rsidRPr="007C4B0F">
              <w:rPr>
                <w:rFonts w:ascii="Comic Sans MS" w:hAnsi="Comic Sans MS"/>
              </w:rPr>
              <w:t xml:space="preserve"> (see p. 2 in the unit) OR create your own “class collections” (maybe 5 or 6) for students to use.</w:t>
            </w:r>
          </w:p>
          <w:p w14:paraId="598E2537" w14:textId="5F3407E6" w:rsidR="007C4B0F" w:rsidRPr="007C4B0F" w:rsidRDefault="007C4B0F" w:rsidP="007C4B0F">
            <w:pPr>
              <w:pStyle w:val="ListParagraph"/>
              <w:numPr>
                <w:ilvl w:val="0"/>
                <w:numId w:val="7"/>
              </w:numPr>
              <w:rPr>
                <w:rFonts w:ascii="Comic Sans MS" w:hAnsi="Comic Sans MS"/>
              </w:rPr>
            </w:pPr>
            <w:r w:rsidRPr="007C4B0F">
              <w:rPr>
                <w:rFonts w:ascii="Comic Sans MS" w:hAnsi="Comic Sans MS"/>
              </w:rPr>
              <w:t>Create your own teacher collection for demonstration.</w:t>
            </w:r>
          </w:p>
        </w:tc>
        <w:tc>
          <w:tcPr>
            <w:tcW w:w="3690" w:type="dxa"/>
          </w:tcPr>
          <w:p w14:paraId="3D368945" w14:textId="77777777" w:rsidR="00A85FAC" w:rsidRDefault="00A85FAC">
            <w:pPr>
              <w:pStyle w:val="Heading2"/>
            </w:pPr>
            <w:r>
              <w:t>Day 1</w:t>
            </w:r>
          </w:p>
          <w:p w14:paraId="4C2F94E4" w14:textId="77777777" w:rsidR="007C4B0F" w:rsidRDefault="007C4B0F">
            <w:pPr>
              <w:rPr>
                <w:rFonts w:ascii="Comic Sans MS" w:hAnsi="Comic Sans MS"/>
                <w:b/>
              </w:rPr>
            </w:pPr>
            <w:r>
              <w:rPr>
                <w:rFonts w:ascii="Comic Sans MS" w:hAnsi="Comic Sans MS"/>
                <w:b/>
              </w:rPr>
              <w:t>People Collect Things and Write Opinions about Their Collections</w:t>
            </w:r>
          </w:p>
          <w:p w14:paraId="00416EC7" w14:textId="69438894" w:rsidR="007C4B0F" w:rsidRDefault="007C4B0F">
            <w:pPr>
              <w:rPr>
                <w:rFonts w:ascii="Comic Sans MS" w:hAnsi="Comic Sans MS"/>
                <w:b/>
              </w:rPr>
            </w:pPr>
            <w:r>
              <w:rPr>
                <w:rFonts w:ascii="Comic Sans MS" w:hAnsi="Comic Sans MS"/>
                <w:b/>
              </w:rPr>
              <w:t>(Session 1)</w:t>
            </w:r>
          </w:p>
          <w:p w14:paraId="703CF12F" w14:textId="796CEC07" w:rsidR="00A85FAC" w:rsidRDefault="00F931C2">
            <w:pPr>
              <w:rPr>
                <w:rFonts w:ascii="Comic Sans MS" w:hAnsi="Comic Sans MS"/>
              </w:rPr>
            </w:pPr>
            <w:r>
              <w:rPr>
                <w:rFonts w:ascii="Comic Sans MS" w:hAnsi="Comic Sans MS"/>
                <w:b/>
              </w:rPr>
              <w:t xml:space="preserve">Teaching point: </w:t>
            </w:r>
            <w:r w:rsidR="00484C1C">
              <w:rPr>
                <w:rFonts w:ascii="Comic Sans MS" w:hAnsi="Comic Sans MS"/>
                <w:b/>
              </w:rPr>
              <w:t>“</w:t>
            </w:r>
            <w:r w:rsidR="008D11F1">
              <w:rPr>
                <w:rFonts w:ascii="Comic Sans MS" w:hAnsi="Comic Sans MS"/>
              </w:rPr>
              <w:t xml:space="preserve">Writers like to tell others about their opinions.  They even try to </w:t>
            </w:r>
            <w:r w:rsidR="008D11F1">
              <w:rPr>
                <w:rFonts w:ascii="Comic Sans MS" w:hAnsi="Comic Sans MS"/>
                <w:i/>
              </w:rPr>
              <w:t xml:space="preserve">convince </w:t>
            </w:r>
            <w:r w:rsidR="008D11F1">
              <w:rPr>
                <w:rFonts w:ascii="Comic Sans MS" w:hAnsi="Comic Sans MS"/>
              </w:rPr>
              <w:t>others about their opinions</w:t>
            </w:r>
            <w:r>
              <w:rPr>
                <w:rFonts w:ascii="Comic Sans MS" w:hAnsi="Comic Sans MS"/>
              </w:rPr>
              <w:t>.</w:t>
            </w:r>
            <w:r w:rsidR="00484C1C">
              <w:rPr>
                <w:rFonts w:ascii="Comic Sans MS" w:hAnsi="Comic Sans MS"/>
              </w:rPr>
              <w:t>”</w:t>
            </w:r>
            <w:r>
              <w:rPr>
                <w:rFonts w:ascii="Comic Sans MS" w:hAnsi="Comic Sans MS"/>
              </w:rPr>
              <w:t xml:space="preserve"> (</w:t>
            </w:r>
            <w:r w:rsidR="008D11F1">
              <w:rPr>
                <w:rFonts w:ascii="Comic Sans MS" w:hAnsi="Comic Sans MS"/>
              </w:rPr>
              <w:t>Using personal or class collections to facilitate “judging.”</w:t>
            </w:r>
            <w:r>
              <w:rPr>
                <w:rFonts w:ascii="Comic Sans MS" w:hAnsi="Comic Sans MS"/>
              </w:rPr>
              <w:t>)</w:t>
            </w:r>
          </w:p>
          <w:p w14:paraId="6CFD7F19" w14:textId="5CE15966" w:rsidR="00F931C2" w:rsidRPr="00F931C2" w:rsidRDefault="00F931C2" w:rsidP="00046758">
            <w:pPr>
              <w:rPr>
                <w:rFonts w:ascii="Comic Sans MS" w:hAnsi="Comic Sans MS"/>
              </w:rPr>
            </w:pPr>
          </w:p>
        </w:tc>
        <w:tc>
          <w:tcPr>
            <w:tcW w:w="3510" w:type="dxa"/>
          </w:tcPr>
          <w:p w14:paraId="5401D8FE" w14:textId="77777777" w:rsidR="00A85FAC" w:rsidRDefault="00A85FAC">
            <w:pPr>
              <w:pStyle w:val="Heading2"/>
            </w:pPr>
            <w:r>
              <w:t>Day 2</w:t>
            </w:r>
          </w:p>
          <w:p w14:paraId="53EAD45C" w14:textId="72E1B98A" w:rsidR="007C4B0F" w:rsidRDefault="007C4B0F" w:rsidP="007C4B0F">
            <w:pPr>
              <w:rPr>
                <w:rFonts w:ascii="Comic Sans MS" w:hAnsi="Comic Sans MS"/>
                <w:b/>
              </w:rPr>
            </w:pPr>
            <w:r>
              <w:rPr>
                <w:rFonts w:ascii="Comic Sans MS" w:hAnsi="Comic Sans MS"/>
                <w:b/>
              </w:rPr>
              <w:t>Explaining Judgments in Convincing Ways</w:t>
            </w:r>
          </w:p>
          <w:p w14:paraId="5EDB9020" w14:textId="2834F53E" w:rsidR="007C4B0F" w:rsidRDefault="007C4B0F" w:rsidP="007C4B0F">
            <w:pPr>
              <w:rPr>
                <w:rFonts w:ascii="Comic Sans MS" w:hAnsi="Comic Sans MS"/>
                <w:b/>
              </w:rPr>
            </w:pPr>
            <w:r>
              <w:rPr>
                <w:rFonts w:ascii="Comic Sans MS" w:hAnsi="Comic Sans MS"/>
                <w:b/>
              </w:rPr>
              <w:t>(Session 2)</w:t>
            </w:r>
          </w:p>
          <w:p w14:paraId="57592132" w14:textId="77777777" w:rsidR="00046758" w:rsidRDefault="00F931C2" w:rsidP="00046758">
            <w:pPr>
              <w:rPr>
                <w:rFonts w:ascii="Comic Sans MS" w:hAnsi="Comic Sans MS"/>
                <w:i/>
              </w:rPr>
            </w:pPr>
            <w:r>
              <w:rPr>
                <w:rFonts w:ascii="Comic Sans MS" w:hAnsi="Comic Sans MS"/>
                <w:b/>
              </w:rPr>
              <w:t>Teaching point:</w:t>
            </w:r>
            <w:r>
              <w:rPr>
                <w:rFonts w:ascii="Comic Sans MS" w:hAnsi="Comic Sans MS"/>
              </w:rPr>
              <w:t xml:space="preserve"> </w:t>
            </w:r>
            <w:r w:rsidR="00484C1C">
              <w:rPr>
                <w:rFonts w:ascii="Comic Sans MS" w:hAnsi="Comic Sans MS"/>
              </w:rPr>
              <w:t>“</w:t>
            </w:r>
            <w:r w:rsidR="007C4B0F">
              <w:rPr>
                <w:rFonts w:ascii="Comic Sans MS" w:hAnsi="Comic Sans MS"/>
              </w:rPr>
              <w:t xml:space="preserve">When you have an opinion, when you judge something, you need to give a </w:t>
            </w:r>
            <w:r w:rsidR="007C4B0F">
              <w:rPr>
                <w:rFonts w:ascii="Comic Sans MS" w:hAnsi="Comic Sans MS"/>
                <w:i/>
              </w:rPr>
              <w:t xml:space="preserve">couple of </w:t>
            </w:r>
            <w:proofErr w:type="gramStart"/>
            <w:r w:rsidR="007C4B0F">
              <w:rPr>
                <w:rFonts w:ascii="Comic Sans MS" w:hAnsi="Comic Sans MS"/>
                <w:i/>
              </w:rPr>
              <w:t>reasons</w:t>
            </w:r>
            <w:r w:rsidR="007C4B0F">
              <w:rPr>
                <w:rFonts w:ascii="Comic Sans MS" w:hAnsi="Comic Sans MS"/>
              </w:rPr>
              <w:t xml:space="preserve"> ,</w:t>
            </w:r>
            <w:proofErr w:type="gramEnd"/>
            <w:r w:rsidR="007C4B0F">
              <w:rPr>
                <w:rFonts w:ascii="Comic Sans MS" w:hAnsi="Comic Sans MS"/>
              </w:rPr>
              <w:t xml:space="preserve"> not just one, and say details about each reason.”</w:t>
            </w:r>
            <w:r w:rsidR="00046758">
              <w:rPr>
                <w:rFonts w:ascii="Comic Sans MS" w:hAnsi="Comic Sans MS"/>
                <w:i/>
              </w:rPr>
              <w:t xml:space="preserve"> </w:t>
            </w:r>
          </w:p>
          <w:p w14:paraId="0BE2DBED" w14:textId="00693B1C" w:rsidR="00046758" w:rsidRPr="00046758" w:rsidRDefault="00046758" w:rsidP="00046758">
            <w:pPr>
              <w:rPr>
                <w:rFonts w:ascii="Comic Sans MS" w:hAnsi="Comic Sans MS"/>
                <w:i/>
              </w:rPr>
            </w:pPr>
            <w:r>
              <w:rPr>
                <w:rFonts w:ascii="Comic Sans MS" w:hAnsi="Comic Sans MS"/>
                <w:i/>
              </w:rPr>
              <w:t xml:space="preserve">Begin </w:t>
            </w:r>
            <w:r>
              <w:rPr>
                <w:rFonts w:ascii="Comic Sans MS" w:hAnsi="Comic Sans MS"/>
                <w:b/>
                <w:i/>
              </w:rPr>
              <w:t>Convince Your Reader!</w:t>
            </w:r>
            <w:r w:rsidR="00CA49C7">
              <w:rPr>
                <w:rFonts w:ascii="Comic Sans MS" w:hAnsi="Comic Sans MS"/>
                <w:i/>
              </w:rPr>
              <w:t xml:space="preserve"> </w:t>
            </w:r>
            <w:proofErr w:type="gramStart"/>
            <w:r w:rsidR="00CA49C7">
              <w:rPr>
                <w:rFonts w:ascii="Comic Sans MS" w:hAnsi="Comic Sans MS"/>
                <w:i/>
              </w:rPr>
              <w:t>a</w:t>
            </w:r>
            <w:r>
              <w:rPr>
                <w:rFonts w:ascii="Comic Sans MS" w:hAnsi="Comic Sans MS"/>
                <w:i/>
              </w:rPr>
              <w:t>nchor</w:t>
            </w:r>
            <w:proofErr w:type="gramEnd"/>
            <w:r>
              <w:rPr>
                <w:rFonts w:ascii="Comic Sans MS" w:hAnsi="Comic Sans MS"/>
                <w:i/>
              </w:rPr>
              <w:t xml:space="preserve"> chart.</w:t>
            </w:r>
          </w:p>
          <w:p w14:paraId="06BDB29F" w14:textId="0D6E55E1" w:rsidR="00F931C2" w:rsidRPr="00F931C2" w:rsidRDefault="00F931C2" w:rsidP="007C4B0F">
            <w:pPr>
              <w:rPr>
                <w:rFonts w:ascii="Comic Sans MS" w:hAnsi="Comic Sans MS"/>
              </w:rPr>
            </w:pPr>
          </w:p>
        </w:tc>
        <w:tc>
          <w:tcPr>
            <w:tcW w:w="3078" w:type="dxa"/>
          </w:tcPr>
          <w:p w14:paraId="367A3FC6" w14:textId="77777777" w:rsidR="00A85FAC" w:rsidRDefault="00A85FAC">
            <w:pPr>
              <w:pStyle w:val="Heading2"/>
            </w:pPr>
            <w:r>
              <w:t>Day 3</w:t>
            </w:r>
          </w:p>
          <w:p w14:paraId="5897E774" w14:textId="629AA236" w:rsidR="007C4B0F" w:rsidRDefault="007C4B0F" w:rsidP="00722E42">
            <w:pPr>
              <w:rPr>
                <w:rFonts w:ascii="Comic Sans MS" w:hAnsi="Comic Sans MS"/>
                <w:b/>
              </w:rPr>
            </w:pPr>
            <w:r>
              <w:rPr>
                <w:rFonts w:ascii="Comic Sans MS" w:hAnsi="Comic Sans MS"/>
                <w:b/>
              </w:rPr>
              <w:t>Opinion Writers Expect Disagreement</w:t>
            </w:r>
          </w:p>
          <w:p w14:paraId="12B1084B" w14:textId="2C97E4A3" w:rsidR="007C4B0F" w:rsidRDefault="007C4B0F" w:rsidP="00722E42">
            <w:pPr>
              <w:rPr>
                <w:rFonts w:ascii="Comic Sans MS" w:hAnsi="Comic Sans MS"/>
                <w:b/>
              </w:rPr>
            </w:pPr>
            <w:r>
              <w:rPr>
                <w:rFonts w:ascii="Comic Sans MS" w:hAnsi="Comic Sans MS"/>
                <w:b/>
              </w:rPr>
              <w:t>(Session 4)</w:t>
            </w:r>
          </w:p>
          <w:p w14:paraId="50FE7D8E" w14:textId="056D174A" w:rsidR="008E495F" w:rsidRPr="00722E42" w:rsidRDefault="00722E42" w:rsidP="00722E42">
            <w:pPr>
              <w:rPr>
                <w:rFonts w:ascii="Comic Sans MS" w:hAnsi="Comic Sans MS"/>
              </w:rPr>
            </w:pPr>
            <w:r>
              <w:rPr>
                <w:rFonts w:ascii="Comic Sans MS" w:hAnsi="Comic Sans MS"/>
                <w:b/>
              </w:rPr>
              <w:t>Teaching point:</w:t>
            </w:r>
            <w:r>
              <w:rPr>
                <w:rFonts w:ascii="Comic Sans MS" w:hAnsi="Comic Sans MS"/>
              </w:rPr>
              <w:t xml:space="preserve"> “When writers are thinking about the reasons that support their opinions, they sometimes need to revise their opinions. “ (If students do not have enough reasons to support an opinion, they can revise their opinions </w:t>
            </w:r>
            <w:r w:rsidR="002F7C77">
              <w:rPr>
                <w:rFonts w:ascii="Comic Sans MS" w:hAnsi="Comic Sans MS"/>
              </w:rPr>
              <w:t>to make them stronger.)</w:t>
            </w:r>
          </w:p>
        </w:tc>
      </w:tr>
      <w:tr w:rsidR="00722E42" w14:paraId="694CA3A9" w14:textId="77777777" w:rsidTr="00722E42">
        <w:tc>
          <w:tcPr>
            <w:tcW w:w="3978" w:type="dxa"/>
          </w:tcPr>
          <w:p w14:paraId="5A2B0E51" w14:textId="40D10FBE" w:rsidR="007C4B0F" w:rsidRDefault="008E495F" w:rsidP="007C4B0F">
            <w:pPr>
              <w:pStyle w:val="Heading2"/>
            </w:pPr>
            <w:r>
              <w:t>Day 4</w:t>
            </w:r>
          </w:p>
          <w:p w14:paraId="614DE9F3" w14:textId="0889E367" w:rsidR="007C4B0F" w:rsidRDefault="007C4B0F" w:rsidP="00722E42">
            <w:pPr>
              <w:rPr>
                <w:rFonts w:ascii="Comic Sans MS" w:hAnsi="Comic Sans MS"/>
                <w:b/>
              </w:rPr>
            </w:pPr>
            <w:r>
              <w:rPr>
                <w:rFonts w:ascii="Comic Sans MS" w:hAnsi="Comic Sans MS"/>
                <w:b/>
              </w:rPr>
              <w:t>Awarding Booby Prizes for More Practice – And More Fun</w:t>
            </w:r>
          </w:p>
          <w:p w14:paraId="6E27FEBF" w14:textId="0F64D183" w:rsidR="00046758" w:rsidRDefault="00046758" w:rsidP="00722E42">
            <w:pPr>
              <w:rPr>
                <w:rFonts w:ascii="Comic Sans MS" w:hAnsi="Comic Sans MS"/>
                <w:b/>
              </w:rPr>
            </w:pPr>
            <w:r>
              <w:rPr>
                <w:rFonts w:ascii="Comic Sans MS" w:hAnsi="Comic Sans MS"/>
                <w:b/>
              </w:rPr>
              <w:t>(Session 5)</w:t>
            </w:r>
          </w:p>
          <w:p w14:paraId="409CD457" w14:textId="77777777" w:rsidR="00B94F13" w:rsidRDefault="00722E42" w:rsidP="00722E42">
            <w:pPr>
              <w:rPr>
                <w:rFonts w:ascii="Comic Sans MS" w:hAnsi="Comic Sans MS"/>
              </w:rPr>
            </w:pPr>
            <w:r>
              <w:rPr>
                <w:rFonts w:ascii="Comic Sans MS" w:hAnsi="Comic Sans MS"/>
                <w:b/>
              </w:rPr>
              <w:t>Teaching point:</w:t>
            </w:r>
            <w:r>
              <w:rPr>
                <w:rFonts w:ascii="Comic Sans MS" w:hAnsi="Comic Sans MS"/>
              </w:rPr>
              <w:t xml:space="preserve"> “</w:t>
            </w:r>
            <w:r w:rsidR="00CA49C7">
              <w:rPr>
                <w:rFonts w:ascii="Comic Sans MS" w:hAnsi="Comic Sans MS"/>
              </w:rPr>
              <w:t xml:space="preserve"> Writers do not only write their opinions when they like something; they can also write their opinions when they do </w:t>
            </w:r>
            <w:r w:rsidR="00CA49C7">
              <w:rPr>
                <w:rFonts w:ascii="Comic Sans MS" w:hAnsi="Comic Sans MS"/>
                <w:i/>
              </w:rPr>
              <w:t>not</w:t>
            </w:r>
            <w:r w:rsidR="00CA49C7">
              <w:rPr>
                <w:rFonts w:ascii="Comic Sans MS" w:hAnsi="Comic Sans MS"/>
              </w:rPr>
              <w:t xml:space="preserve"> like something.  They use the same strategies to write this type of opinion.”</w:t>
            </w:r>
          </w:p>
          <w:p w14:paraId="3C2E052B" w14:textId="600D60EF" w:rsidR="00CA49C7" w:rsidRPr="00CA49C7" w:rsidRDefault="00CA49C7" w:rsidP="00722E42">
            <w:pPr>
              <w:rPr>
                <w:rFonts w:ascii="Comic Sans MS" w:hAnsi="Comic Sans MS"/>
                <w:i/>
              </w:rPr>
            </w:pPr>
            <w:r>
              <w:rPr>
                <w:rFonts w:ascii="Comic Sans MS" w:hAnsi="Comic Sans MS"/>
                <w:i/>
              </w:rPr>
              <w:t xml:space="preserve">Add to </w:t>
            </w:r>
            <w:r>
              <w:rPr>
                <w:rFonts w:ascii="Comic Sans MS" w:hAnsi="Comic Sans MS"/>
                <w:b/>
                <w:i/>
              </w:rPr>
              <w:t>Convince Your Reader!</w:t>
            </w:r>
            <w:r>
              <w:rPr>
                <w:rFonts w:ascii="Comic Sans MS" w:hAnsi="Comic Sans MS"/>
                <w:i/>
              </w:rPr>
              <w:t xml:space="preserve"> </w:t>
            </w:r>
            <w:proofErr w:type="gramStart"/>
            <w:r>
              <w:rPr>
                <w:rFonts w:ascii="Comic Sans MS" w:hAnsi="Comic Sans MS"/>
                <w:i/>
              </w:rPr>
              <w:t>anchor</w:t>
            </w:r>
            <w:proofErr w:type="gramEnd"/>
            <w:r>
              <w:rPr>
                <w:rFonts w:ascii="Comic Sans MS" w:hAnsi="Comic Sans MS"/>
                <w:i/>
              </w:rPr>
              <w:t xml:space="preserve"> chart.</w:t>
            </w:r>
          </w:p>
        </w:tc>
        <w:tc>
          <w:tcPr>
            <w:tcW w:w="3690" w:type="dxa"/>
          </w:tcPr>
          <w:p w14:paraId="4C89157E" w14:textId="77777777" w:rsidR="008E495F" w:rsidRDefault="008E495F" w:rsidP="008E495F">
            <w:pPr>
              <w:pStyle w:val="Heading2"/>
            </w:pPr>
            <w:r>
              <w:t>Day 5</w:t>
            </w:r>
          </w:p>
          <w:p w14:paraId="2CE59B65" w14:textId="7F873546" w:rsidR="007C4B0F" w:rsidRDefault="007C4B0F" w:rsidP="00722E42">
            <w:pPr>
              <w:rPr>
                <w:rFonts w:ascii="Comic Sans MS" w:hAnsi="Comic Sans MS"/>
                <w:b/>
              </w:rPr>
            </w:pPr>
            <w:r>
              <w:rPr>
                <w:rFonts w:ascii="Comic Sans MS" w:hAnsi="Comic Sans MS"/>
                <w:b/>
              </w:rPr>
              <w:t>Bolstering Arguments</w:t>
            </w:r>
          </w:p>
          <w:p w14:paraId="29C64643" w14:textId="3682509B" w:rsidR="00046758" w:rsidRDefault="00046758" w:rsidP="00722E42">
            <w:pPr>
              <w:rPr>
                <w:rFonts w:ascii="Comic Sans MS" w:hAnsi="Comic Sans MS"/>
                <w:b/>
              </w:rPr>
            </w:pPr>
            <w:r>
              <w:rPr>
                <w:rFonts w:ascii="Comic Sans MS" w:hAnsi="Comic Sans MS"/>
                <w:b/>
              </w:rPr>
              <w:t>(Session 6)</w:t>
            </w:r>
          </w:p>
          <w:p w14:paraId="3809C7B8" w14:textId="0745AAA8" w:rsidR="008E495F" w:rsidRDefault="00722E42">
            <w:pPr>
              <w:rPr>
                <w:rFonts w:ascii="Comic Sans MS" w:hAnsi="Comic Sans MS"/>
              </w:rPr>
            </w:pPr>
            <w:r>
              <w:rPr>
                <w:rFonts w:ascii="Comic Sans MS" w:hAnsi="Comic Sans MS"/>
                <w:b/>
              </w:rPr>
              <w:t>Teaching point:</w:t>
            </w:r>
            <w:r>
              <w:rPr>
                <w:rFonts w:ascii="Comic Sans MS" w:hAnsi="Comic Sans MS"/>
              </w:rPr>
              <w:t xml:space="preserve"> “</w:t>
            </w:r>
            <w:r w:rsidR="00B6795D">
              <w:rPr>
                <w:rFonts w:ascii="Comic Sans MS" w:hAnsi="Comic Sans MS"/>
              </w:rPr>
              <w:t>Writers make their opinion writing even stronger</w:t>
            </w:r>
            <w:r w:rsidR="00CA49C7">
              <w:rPr>
                <w:rFonts w:ascii="Comic Sans MS" w:hAnsi="Comic Sans MS"/>
              </w:rPr>
              <w:t xml:space="preserve"> by quoting experts when they</w:t>
            </w:r>
            <w:r w:rsidR="00B6795D">
              <w:rPr>
                <w:rFonts w:ascii="Comic Sans MS" w:hAnsi="Comic Sans MS"/>
              </w:rPr>
              <w:t xml:space="preserve"> explain their reasons for</w:t>
            </w:r>
            <w:r w:rsidR="00CA49C7">
              <w:rPr>
                <w:rFonts w:ascii="Comic Sans MS" w:hAnsi="Comic Sans MS"/>
              </w:rPr>
              <w:t xml:space="preserve"> opinion</w:t>
            </w:r>
            <w:r w:rsidR="00B6795D">
              <w:rPr>
                <w:rFonts w:ascii="Comic Sans MS" w:hAnsi="Comic Sans MS"/>
              </w:rPr>
              <w:t>s</w:t>
            </w:r>
            <w:r w:rsidR="00CA49C7">
              <w:rPr>
                <w:rFonts w:ascii="Comic Sans MS" w:hAnsi="Comic Sans MS"/>
              </w:rPr>
              <w:t>.”</w:t>
            </w:r>
          </w:p>
          <w:p w14:paraId="5F495461" w14:textId="23F00439" w:rsidR="00CA49C7" w:rsidRDefault="00CA49C7">
            <w:pPr>
              <w:rPr>
                <w:rFonts w:ascii="Comic Sans MS" w:hAnsi="Comic Sans MS"/>
                <w:i/>
              </w:rPr>
            </w:pPr>
            <w:r>
              <w:rPr>
                <w:rFonts w:ascii="Comic Sans MS" w:hAnsi="Comic Sans MS"/>
                <w:i/>
              </w:rPr>
              <w:t xml:space="preserve">Add to </w:t>
            </w:r>
            <w:r>
              <w:rPr>
                <w:rFonts w:ascii="Comic Sans MS" w:hAnsi="Comic Sans MS"/>
                <w:b/>
                <w:i/>
              </w:rPr>
              <w:t>Convince Your Reader!</w:t>
            </w:r>
            <w:r>
              <w:rPr>
                <w:rFonts w:ascii="Comic Sans MS" w:hAnsi="Comic Sans MS"/>
                <w:i/>
              </w:rPr>
              <w:t xml:space="preserve"> </w:t>
            </w:r>
            <w:proofErr w:type="gramStart"/>
            <w:r>
              <w:rPr>
                <w:rFonts w:ascii="Comic Sans MS" w:hAnsi="Comic Sans MS"/>
                <w:i/>
              </w:rPr>
              <w:t>anchor</w:t>
            </w:r>
            <w:proofErr w:type="gramEnd"/>
            <w:r>
              <w:rPr>
                <w:rFonts w:ascii="Comic Sans MS" w:hAnsi="Comic Sans MS"/>
                <w:i/>
              </w:rPr>
              <w:t xml:space="preserve"> chart.</w:t>
            </w:r>
          </w:p>
          <w:p w14:paraId="7C4CA0C4" w14:textId="53E1779D" w:rsidR="00CA49C7" w:rsidRPr="00CA49C7" w:rsidRDefault="00CA49C7">
            <w:pPr>
              <w:rPr>
                <w:rFonts w:ascii="Comic Sans MS" w:hAnsi="Comic Sans MS"/>
                <w:i/>
              </w:rPr>
            </w:pPr>
            <w:r>
              <w:rPr>
                <w:rFonts w:ascii="Comic Sans MS" w:hAnsi="Comic Sans MS"/>
                <w:i/>
              </w:rPr>
              <w:t xml:space="preserve">Begin </w:t>
            </w:r>
            <w:r>
              <w:rPr>
                <w:rFonts w:ascii="Comic Sans MS" w:hAnsi="Comic Sans MS"/>
                <w:b/>
                <w:i/>
              </w:rPr>
              <w:t>How Did I Make My Writing Easy to Read</w:t>
            </w:r>
            <w:r>
              <w:rPr>
                <w:rFonts w:ascii="Comic Sans MS" w:hAnsi="Comic Sans MS"/>
                <w:i/>
              </w:rPr>
              <w:t xml:space="preserve"> chart.</w:t>
            </w:r>
          </w:p>
          <w:p w14:paraId="6A3FA7F2" w14:textId="77777777" w:rsidR="008E495F" w:rsidRDefault="008E495F">
            <w:pPr>
              <w:rPr>
                <w:rFonts w:ascii="Comic Sans MS" w:hAnsi="Comic Sans MS"/>
              </w:rPr>
            </w:pPr>
          </w:p>
        </w:tc>
        <w:tc>
          <w:tcPr>
            <w:tcW w:w="3510" w:type="dxa"/>
          </w:tcPr>
          <w:p w14:paraId="271AE168" w14:textId="41AEF885" w:rsidR="008E495F" w:rsidRDefault="009C1965">
            <w:pPr>
              <w:pStyle w:val="Heading2"/>
            </w:pPr>
            <w:r>
              <w:t>Day 6</w:t>
            </w:r>
          </w:p>
          <w:p w14:paraId="0113B87E" w14:textId="18D3611E" w:rsidR="007C4B0F" w:rsidRDefault="007C4B0F" w:rsidP="00722E42">
            <w:pPr>
              <w:rPr>
                <w:rFonts w:ascii="Comic Sans MS" w:hAnsi="Comic Sans MS"/>
                <w:b/>
              </w:rPr>
            </w:pPr>
            <w:r>
              <w:rPr>
                <w:rFonts w:ascii="Comic Sans MS" w:hAnsi="Comic Sans MS"/>
                <w:b/>
              </w:rPr>
              <w:t>Editing and Publishing Making Writing “Best in Show”!</w:t>
            </w:r>
          </w:p>
          <w:p w14:paraId="405B2319" w14:textId="035E594B" w:rsidR="00046758" w:rsidRDefault="00046758" w:rsidP="00722E42">
            <w:pPr>
              <w:rPr>
                <w:rFonts w:ascii="Comic Sans MS" w:hAnsi="Comic Sans MS"/>
                <w:b/>
              </w:rPr>
            </w:pPr>
            <w:r>
              <w:rPr>
                <w:rFonts w:ascii="Comic Sans MS" w:hAnsi="Comic Sans MS"/>
                <w:b/>
              </w:rPr>
              <w:t>(Session 7)</w:t>
            </w:r>
          </w:p>
          <w:p w14:paraId="1A02A74C" w14:textId="77777777" w:rsidR="00B6795D" w:rsidRDefault="00722E42" w:rsidP="00B6795D">
            <w:pPr>
              <w:rPr>
                <w:rFonts w:ascii="Comic Sans MS" w:hAnsi="Comic Sans MS"/>
              </w:rPr>
            </w:pPr>
            <w:r>
              <w:rPr>
                <w:rFonts w:ascii="Comic Sans MS" w:hAnsi="Comic Sans MS"/>
                <w:b/>
              </w:rPr>
              <w:t xml:space="preserve">Teaching point: </w:t>
            </w:r>
            <w:r>
              <w:rPr>
                <w:rFonts w:ascii="Comic Sans MS" w:hAnsi="Comic Sans MS"/>
              </w:rPr>
              <w:t>“</w:t>
            </w:r>
            <w:r w:rsidR="00B6795D">
              <w:rPr>
                <w:rFonts w:ascii="Comic Sans MS" w:hAnsi="Comic Sans MS"/>
              </w:rPr>
              <w:t>One way to make sure your writing is ready for others to read is to use our teaching charts as To-Do Lists.”</w:t>
            </w:r>
          </w:p>
          <w:p w14:paraId="5B408C75" w14:textId="4CF80AD4" w:rsidR="00B6795D" w:rsidRDefault="00B6795D" w:rsidP="00B6795D">
            <w:pPr>
              <w:rPr>
                <w:rFonts w:ascii="Comic Sans MS" w:hAnsi="Comic Sans MS"/>
                <w:i/>
              </w:rPr>
            </w:pPr>
            <w:r>
              <w:rPr>
                <w:rFonts w:ascii="Comic Sans MS" w:hAnsi="Comic Sans MS"/>
                <w:b/>
                <w:i/>
              </w:rPr>
              <w:t>How Did I Make My Writing Easy to Read?</w:t>
            </w:r>
            <w:r>
              <w:rPr>
                <w:rFonts w:ascii="Comic Sans MS" w:hAnsi="Comic Sans MS"/>
                <w:i/>
              </w:rPr>
              <w:t xml:space="preserve"> </w:t>
            </w:r>
            <w:proofErr w:type="gramStart"/>
            <w:r>
              <w:rPr>
                <w:rFonts w:ascii="Comic Sans MS" w:hAnsi="Comic Sans MS"/>
                <w:i/>
              </w:rPr>
              <w:t>chart</w:t>
            </w:r>
            <w:proofErr w:type="gramEnd"/>
          </w:p>
          <w:p w14:paraId="4D461B3D" w14:textId="62C45755" w:rsidR="008E495F" w:rsidRPr="00B6795D" w:rsidRDefault="00722E42" w:rsidP="00B6795D">
            <w:pPr>
              <w:rPr>
                <w:rFonts w:ascii="Comic Sans MS" w:hAnsi="Comic Sans MS"/>
                <w:i/>
              </w:rPr>
            </w:pPr>
            <w:r>
              <w:rPr>
                <w:rFonts w:ascii="Comic Sans MS" w:hAnsi="Comic Sans MS"/>
              </w:rPr>
              <w:t xml:space="preserve"> </w:t>
            </w:r>
            <w:r w:rsidR="00B6795D">
              <w:rPr>
                <w:rFonts w:ascii="Comic Sans MS" w:hAnsi="Comic Sans MS"/>
                <w:i/>
              </w:rPr>
              <w:t>Opinion Writing checklists</w:t>
            </w:r>
          </w:p>
        </w:tc>
        <w:tc>
          <w:tcPr>
            <w:tcW w:w="3078" w:type="dxa"/>
          </w:tcPr>
          <w:p w14:paraId="158FBF71" w14:textId="50CE4885" w:rsidR="008E495F" w:rsidRDefault="00620401">
            <w:pPr>
              <w:pStyle w:val="Heading2"/>
            </w:pPr>
            <w:r>
              <w:t>Day 7</w:t>
            </w:r>
          </w:p>
          <w:p w14:paraId="46B00214" w14:textId="245B407D" w:rsidR="008E495F" w:rsidRPr="00DB70F5" w:rsidRDefault="00722E42" w:rsidP="00046758">
            <w:pPr>
              <w:rPr>
                <w:rFonts w:ascii="Comic Sans MS" w:hAnsi="Comic Sans MS"/>
              </w:rPr>
            </w:pPr>
            <w:r>
              <w:rPr>
                <w:rFonts w:ascii="Comic Sans MS" w:hAnsi="Comic Sans MS"/>
                <w:b/>
              </w:rPr>
              <w:t xml:space="preserve">Teaching point: </w:t>
            </w:r>
            <w:r w:rsidR="00DB70F5">
              <w:rPr>
                <w:rFonts w:ascii="Comic Sans MS" w:hAnsi="Comic Sans MS"/>
              </w:rPr>
              <w:t>Writing to persuade others.  Investigate:  “What important parts do writers make sure to include to make their reviews so convincing?” (Bend II, looking at others’ writing, Session 8, pp. 56 – 61)</w:t>
            </w:r>
          </w:p>
        </w:tc>
      </w:tr>
      <w:tr w:rsidR="00722E42" w14:paraId="16FFBCDC" w14:textId="77777777" w:rsidTr="00722E42">
        <w:tc>
          <w:tcPr>
            <w:tcW w:w="3978" w:type="dxa"/>
          </w:tcPr>
          <w:p w14:paraId="4523139A" w14:textId="385A9E83" w:rsidR="008E495F" w:rsidRDefault="008E495F" w:rsidP="008E495F">
            <w:pPr>
              <w:pStyle w:val="Heading2"/>
            </w:pPr>
            <w:r>
              <w:t xml:space="preserve">Day </w:t>
            </w:r>
            <w:r w:rsidR="00620401">
              <w:t>8</w:t>
            </w:r>
          </w:p>
          <w:p w14:paraId="61D60F74" w14:textId="2A039F8A" w:rsidR="00046758" w:rsidRDefault="002F7C77" w:rsidP="00046758">
            <w:pPr>
              <w:rPr>
                <w:rFonts w:ascii="Comic Sans MS" w:hAnsi="Comic Sans MS"/>
              </w:rPr>
            </w:pPr>
            <w:r>
              <w:rPr>
                <w:rFonts w:ascii="Comic Sans MS" w:hAnsi="Comic Sans MS"/>
                <w:b/>
              </w:rPr>
              <w:t xml:space="preserve">Teaching point: </w:t>
            </w:r>
            <w:r w:rsidR="00DB70F5">
              <w:rPr>
                <w:rFonts w:ascii="Comic Sans MS" w:hAnsi="Comic Sans MS"/>
              </w:rPr>
              <w:t>Studying others’ reviews/Developing rating systems (Session 8, p. 62 for lesson and p. 65 for share)</w:t>
            </w:r>
          </w:p>
          <w:p w14:paraId="680C3BAF" w14:textId="4F685119" w:rsidR="00DB70F5" w:rsidRPr="00DB70F5" w:rsidRDefault="00DB70F5" w:rsidP="00046758">
            <w:pPr>
              <w:rPr>
                <w:rFonts w:ascii="Comic Sans MS" w:hAnsi="Comic Sans MS"/>
              </w:rPr>
            </w:pPr>
            <w:r>
              <w:rPr>
                <w:rFonts w:ascii="Comic Sans MS" w:hAnsi="Comic Sans MS"/>
                <w:b/>
                <w:i/>
              </w:rPr>
              <w:lastRenderedPageBreak/>
              <w:t xml:space="preserve">Thinking Outside the Box . . . Writers Can Review . . . </w:t>
            </w:r>
            <w:r>
              <w:rPr>
                <w:rFonts w:ascii="Comic Sans MS" w:hAnsi="Comic Sans MS"/>
              </w:rPr>
              <w:t>anchor chart</w:t>
            </w:r>
          </w:p>
          <w:p w14:paraId="067D65EA" w14:textId="2284AB7F" w:rsidR="002F7C77" w:rsidRPr="002F7C77" w:rsidRDefault="002F7C77" w:rsidP="002F7C77">
            <w:pPr>
              <w:rPr>
                <w:rFonts w:ascii="Comic Sans MS" w:hAnsi="Comic Sans MS"/>
              </w:rPr>
            </w:pPr>
          </w:p>
        </w:tc>
        <w:tc>
          <w:tcPr>
            <w:tcW w:w="3690" w:type="dxa"/>
          </w:tcPr>
          <w:p w14:paraId="13BB6FF1" w14:textId="5196CC08" w:rsidR="008E495F" w:rsidRDefault="008E495F">
            <w:pPr>
              <w:pStyle w:val="Heading2"/>
            </w:pPr>
            <w:r>
              <w:lastRenderedPageBreak/>
              <w:t xml:space="preserve">Day </w:t>
            </w:r>
            <w:r w:rsidR="00620401">
              <w:t>9</w:t>
            </w:r>
          </w:p>
          <w:p w14:paraId="1C8448F5" w14:textId="4C5FA395" w:rsidR="008E495F" w:rsidRDefault="002F7C77" w:rsidP="00046758">
            <w:pPr>
              <w:rPr>
                <w:rFonts w:ascii="Comic Sans MS" w:hAnsi="Comic Sans MS"/>
              </w:rPr>
            </w:pPr>
            <w:r>
              <w:rPr>
                <w:rFonts w:ascii="Comic Sans MS" w:hAnsi="Comic Sans MS"/>
                <w:b/>
              </w:rPr>
              <w:t xml:space="preserve">Teaching point: </w:t>
            </w:r>
            <w:r w:rsidR="00FB348C">
              <w:rPr>
                <w:rFonts w:ascii="Comic Sans MS" w:hAnsi="Comic Sans MS"/>
              </w:rPr>
              <w:t xml:space="preserve">“Review writers include important information to convince their readers. One way to do this is to talk right to your </w:t>
            </w:r>
            <w:r w:rsidR="00FB348C">
              <w:rPr>
                <w:rFonts w:ascii="Comic Sans MS" w:hAnsi="Comic Sans MS"/>
              </w:rPr>
              <w:lastRenderedPageBreak/>
              <w:t>reader.”  (Session 9, see teaching point on p. 68))</w:t>
            </w:r>
          </w:p>
          <w:p w14:paraId="18C2314B" w14:textId="61D5374B" w:rsidR="00FB348C" w:rsidRPr="00FB348C" w:rsidRDefault="00FB348C" w:rsidP="00046758">
            <w:pPr>
              <w:rPr>
                <w:rFonts w:ascii="Comic Sans MS" w:hAnsi="Comic Sans MS"/>
              </w:rPr>
            </w:pPr>
            <w:r>
              <w:rPr>
                <w:rFonts w:ascii="Comic Sans MS" w:hAnsi="Comic Sans MS"/>
              </w:rPr>
              <w:t xml:space="preserve">Add to </w:t>
            </w:r>
            <w:r>
              <w:rPr>
                <w:rFonts w:ascii="Comic Sans MS" w:hAnsi="Comic Sans MS"/>
                <w:b/>
                <w:i/>
              </w:rPr>
              <w:t>Convince Your Readers</w:t>
            </w:r>
            <w:r>
              <w:rPr>
                <w:rFonts w:ascii="Comic Sans MS" w:hAnsi="Comic Sans MS"/>
              </w:rPr>
              <w:t xml:space="preserve"> chart (p. 74)</w:t>
            </w:r>
          </w:p>
        </w:tc>
        <w:tc>
          <w:tcPr>
            <w:tcW w:w="3510" w:type="dxa"/>
          </w:tcPr>
          <w:p w14:paraId="6CE9BB52" w14:textId="1D67150D" w:rsidR="008E495F" w:rsidRDefault="00620401">
            <w:pPr>
              <w:pStyle w:val="Heading2"/>
            </w:pPr>
            <w:r>
              <w:lastRenderedPageBreak/>
              <w:t>Day 10</w:t>
            </w:r>
          </w:p>
          <w:p w14:paraId="5DC43804" w14:textId="045425DC" w:rsidR="008E495F" w:rsidRPr="00FB348C" w:rsidRDefault="002F7C77" w:rsidP="00046758">
            <w:pPr>
              <w:pStyle w:val="Heading2"/>
              <w:rPr>
                <w:b w:val="0"/>
              </w:rPr>
            </w:pPr>
            <w:r>
              <w:rPr>
                <w:sz w:val="20"/>
              </w:rPr>
              <w:t xml:space="preserve">Teaching point: </w:t>
            </w:r>
            <w:r w:rsidR="00FB348C">
              <w:rPr>
                <w:b w:val="0"/>
                <w:sz w:val="20"/>
              </w:rPr>
              <w:t xml:space="preserve">“Review writers can make their writing more convincing by making comparisons to their subject.” (Session 10, see </w:t>
            </w:r>
            <w:r w:rsidR="00FB348C">
              <w:rPr>
                <w:b w:val="0"/>
                <w:sz w:val="20"/>
              </w:rPr>
              <w:lastRenderedPageBreak/>
              <w:t>example on p. 77 and share on p 81)</w:t>
            </w:r>
          </w:p>
        </w:tc>
        <w:tc>
          <w:tcPr>
            <w:tcW w:w="3078" w:type="dxa"/>
          </w:tcPr>
          <w:p w14:paraId="4BA5DBC7" w14:textId="7B43F59D" w:rsidR="008E495F" w:rsidRDefault="00620401">
            <w:pPr>
              <w:pStyle w:val="Heading2"/>
            </w:pPr>
            <w:r>
              <w:lastRenderedPageBreak/>
              <w:t>Day 11</w:t>
            </w:r>
          </w:p>
          <w:p w14:paraId="2B3D1235" w14:textId="77777777" w:rsidR="008E495F" w:rsidRDefault="002F7C77" w:rsidP="00046758">
            <w:pPr>
              <w:rPr>
                <w:rFonts w:ascii="Comic Sans MS" w:hAnsi="Comic Sans MS"/>
              </w:rPr>
            </w:pPr>
            <w:r>
              <w:rPr>
                <w:rFonts w:ascii="Comic Sans MS" w:hAnsi="Comic Sans MS"/>
                <w:b/>
              </w:rPr>
              <w:t xml:space="preserve">Teaching point: </w:t>
            </w:r>
            <w:r w:rsidR="00FB348C">
              <w:rPr>
                <w:rFonts w:ascii="Comic Sans MS" w:hAnsi="Comic Sans MS"/>
              </w:rPr>
              <w:t xml:space="preserve">Writing Catchy Introductions (Session 11, </w:t>
            </w:r>
            <w:proofErr w:type="spellStart"/>
            <w:r w:rsidR="00FB348C">
              <w:rPr>
                <w:rFonts w:ascii="Comic Sans MS" w:hAnsi="Comic Sans MS"/>
              </w:rPr>
              <w:t>minilesson</w:t>
            </w:r>
            <w:proofErr w:type="spellEnd"/>
            <w:r w:rsidR="00FB348C">
              <w:rPr>
                <w:rFonts w:ascii="Comic Sans MS" w:hAnsi="Comic Sans MS"/>
              </w:rPr>
              <w:t>)</w:t>
            </w:r>
          </w:p>
          <w:p w14:paraId="6093891B" w14:textId="4DF31DCA" w:rsidR="00FB348C" w:rsidRPr="00FB348C" w:rsidRDefault="00FB348C" w:rsidP="00046758">
            <w:pPr>
              <w:rPr>
                <w:rFonts w:ascii="Comic Sans MS" w:hAnsi="Comic Sans MS"/>
              </w:rPr>
            </w:pPr>
            <w:r>
              <w:rPr>
                <w:rFonts w:ascii="Comic Sans MS" w:hAnsi="Comic Sans MS"/>
              </w:rPr>
              <w:t xml:space="preserve">Create anchor chart: </w:t>
            </w:r>
            <w:r>
              <w:rPr>
                <w:rFonts w:ascii="Comic Sans MS" w:hAnsi="Comic Sans MS"/>
                <w:b/>
                <w:i/>
              </w:rPr>
              <w:t xml:space="preserve">Say </w:t>
            </w:r>
            <w:r>
              <w:rPr>
                <w:rFonts w:ascii="Comic Sans MS" w:hAnsi="Comic Sans MS"/>
                <w:b/>
                <w:i/>
              </w:rPr>
              <w:lastRenderedPageBreak/>
              <w:t xml:space="preserve">Hello with a Catchy Introduction! </w:t>
            </w:r>
            <w:r>
              <w:rPr>
                <w:rFonts w:ascii="Comic Sans MS" w:hAnsi="Comic Sans MS"/>
              </w:rPr>
              <w:t>(</w:t>
            </w:r>
            <w:proofErr w:type="gramStart"/>
            <w:r>
              <w:rPr>
                <w:rFonts w:ascii="Comic Sans MS" w:hAnsi="Comic Sans MS"/>
              </w:rPr>
              <w:t>see</w:t>
            </w:r>
            <w:proofErr w:type="gramEnd"/>
            <w:r>
              <w:rPr>
                <w:rFonts w:ascii="Comic Sans MS" w:hAnsi="Comic Sans MS"/>
              </w:rPr>
              <w:t xml:space="preserve"> p. 85)</w:t>
            </w:r>
          </w:p>
        </w:tc>
      </w:tr>
      <w:tr w:rsidR="002F7C77" w14:paraId="7696EB5B" w14:textId="77777777" w:rsidTr="00722E42">
        <w:tc>
          <w:tcPr>
            <w:tcW w:w="3978" w:type="dxa"/>
          </w:tcPr>
          <w:p w14:paraId="16CFF081" w14:textId="31D59934" w:rsidR="002F7C77" w:rsidRDefault="002F7C77" w:rsidP="008E495F">
            <w:pPr>
              <w:pStyle w:val="Heading2"/>
            </w:pPr>
            <w:r>
              <w:lastRenderedPageBreak/>
              <w:t>Day 12</w:t>
            </w:r>
          </w:p>
          <w:p w14:paraId="02CA9C2A" w14:textId="77777777" w:rsidR="0065640F" w:rsidRDefault="002F7C77" w:rsidP="002F7C77">
            <w:pPr>
              <w:rPr>
                <w:rFonts w:ascii="Comic Sans MS" w:hAnsi="Comic Sans MS"/>
              </w:rPr>
            </w:pPr>
            <w:r>
              <w:rPr>
                <w:rFonts w:ascii="Comic Sans MS" w:hAnsi="Comic Sans MS"/>
                <w:b/>
              </w:rPr>
              <w:t>Teaching point:</w:t>
            </w:r>
            <w:r>
              <w:rPr>
                <w:rFonts w:ascii="Comic Sans MS" w:hAnsi="Comic Sans MS"/>
              </w:rPr>
              <w:t xml:space="preserve"> </w:t>
            </w:r>
            <w:r w:rsidR="00FB348C">
              <w:rPr>
                <w:rFonts w:ascii="Comic Sans MS" w:hAnsi="Comic Sans MS"/>
              </w:rPr>
              <w:t>Writing Catchy Conclusions (Session 11, share, p. 90)</w:t>
            </w:r>
          </w:p>
          <w:p w14:paraId="0B321F1B" w14:textId="0871DEA1" w:rsidR="00FB348C" w:rsidRPr="00FB348C" w:rsidRDefault="00FB348C" w:rsidP="002F7C77">
            <w:pPr>
              <w:rPr>
                <w:rFonts w:ascii="Comic Sans MS" w:hAnsi="Comic Sans MS"/>
              </w:rPr>
            </w:pPr>
            <w:r>
              <w:rPr>
                <w:rFonts w:ascii="Comic Sans MS" w:hAnsi="Comic Sans MS"/>
              </w:rPr>
              <w:t xml:space="preserve">Anchor chart: </w:t>
            </w:r>
            <w:r>
              <w:rPr>
                <w:rFonts w:ascii="Comic Sans MS" w:hAnsi="Comic Sans MS"/>
                <w:b/>
                <w:i/>
              </w:rPr>
              <w:t>Don’t Forget to Say Goodbye!</w:t>
            </w:r>
          </w:p>
        </w:tc>
        <w:tc>
          <w:tcPr>
            <w:tcW w:w="3690" w:type="dxa"/>
          </w:tcPr>
          <w:p w14:paraId="4FE8004A" w14:textId="77777777" w:rsidR="002F7C77" w:rsidRDefault="00EA29C6">
            <w:pPr>
              <w:pStyle w:val="Heading2"/>
            </w:pPr>
            <w:r>
              <w:t>Day 13</w:t>
            </w:r>
          </w:p>
          <w:p w14:paraId="1CDFFB05" w14:textId="30680771" w:rsidR="00F62CE4" w:rsidRPr="00D47138" w:rsidRDefault="00F62CE4" w:rsidP="00046758">
            <w:pPr>
              <w:rPr>
                <w:rFonts w:ascii="Comic Sans MS" w:hAnsi="Comic Sans MS"/>
              </w:rPr>
            </w:pPr>
            <w:r>
              <w:rPr>
                <w:rFonts w:ascii="Comic Sans MS" w:hAnsi="Comic Sans MS"/>
                <w:b/>
              </w:rPr>
              <w:t xml:space="preserve">Teaching point: </w:t>
            </w:r>
            <w:r w:rsidR="00D47138">
              <w:rPr>
                <w:rFonts w:ascii="Comic Sans MS" w:hAnsi="Comic Sans MS"/>
              </w:rPr>
              <w:t>“Review writers write book reviews.  You can use all that you know already about writing reviews to convince people to agree with your opinion.” (Session 14, p. 106, note share on p. 113)</w:t>
            </w:r>
          </w:p>
        </w:tc>
        <w:tc>
          <w:tcPr>
            <w:tcW w:w="3510" w:type="dxa"/>
          </w:tcPr>
          <w:p w14:paraId="0E01C131" w14:textId="12F71020" w:rsidR="00B6795D" w:rsidRDefault="00B6795D" w:rsidP="00B6795D">
            <w:pPr>
              <w:pStyle w:val="Heading2"/>
            </w:pPr>
            <w:r>
              <w:t>Day 14</w:t>
            </w:r>
          </w:p>
          <w:p w14:paraId="57ADA8BC" w14:textId="25BE6304" w:rsidR="002F7C77" w:rsidRPr="00D47138" w:rsidRDefault="00B6795D" w:rsidP="00B6795D">
            <w:pPr>
              <w:pStyle w:val="Heading2"/>
              <w:rPr>
                <w:b w:val="0"/>
                <w:sz w:val="20"/>
              </w:rPr>
            </w:pPr>
            <w:r w:rsidRPr="00B6795D">
              <w:rPr>
                <w:sz w:val="20"/>
              </w:rPr>
              <w:t xml:space="preserve">Teaching point: </w:t>
            </w:r>
            <w:r w:rsidR="00D47138">
              <w:rPr>
                <w:b w:val="0"/>
                <w:sz w:val="20"/>
              </w:rPr>
              <w:t>“Writers of book reviews give a sneak peek summary without giving everything away.”</w:t>
            </w:r>
            <w:r w:rsidRPr="00B6795D">
              <w:rPr>
                <w:sz w:val="20"/>
              </w:rPr>
              <w:t xml:space="preserve"> </w:t>
            </w:r>
            <w:r w:rsidR="00D47138">
              <w:rPr>
                <w:b w:val="0"/>
                <w:sz w:val="20"/>
              </w:rPr>
              <w:t>(Session 15, see more of the te</w:t>
            </w:r>
            <w:r w:rsidR="008E2F85">
              <w:rPr>
                <w:b w:val="0"/>
                <w:sz w:val="20"/>
              </w:rPr>
              <w:t>aching point and examples on pp. 116 – 117, anchor chart on p. 118)</w:t>
            </w:r>
            <w:bookmarkStart w:id="0" w:name="_GoBack"/>
            <w:bookmarkEnd w:id="0"/>
          </w:p>
        </w:tc>
        <w:tc>
          <w:tcPr>
            <w:tcW w:w="3078" w:type="dxa"/>
          </w:tcPr>
          <w:p w14:paraId="37C77BF8" w14:textId="4727E68D" w:rsidR="00B6795D" w:rsidRDefault="00B6795D" w:rsidP="00B6795D">
            <w:pPr>
              <w:pStyle w:val="Heading2"/>
            </w:pPr>
            <w:r>
              <w:t>Day 15</w:t>
            </w:r>
          </w:p>
          <w:p w14:paraId="3C2F1DCC" w14:textId="7AEBB960" w:rsidR="002F7C77" w:rsidRPr="00B6795D" w:rsidRDefault="00B6795D" w:rsidP="00B6795D">
            <w:pPr>
              <w:pStyle w:val="Heading2"/>
              <w:rPr>
                <w:sz w:val="20"/>
              </w:rPr>
            </w:pPr>
            <w:r w:rsidRPr="00B6795D">
              <w:rPr>
                <w:sz w:val="20"/>
              </w:rPr>
              <w:t>Teaching point</w:t>
            </w:r>
            <w:proofErr w:type="gramStart"/>
            <w:r w:rsidRPr="00B6795D">
              <w:rPr>
                <w:sz w:val="20"/>
              </w:rPr>
              <w:t xml:space="preserve">:  </w:t>
            </w:r>
            <w:proofErr w:type="gramEnd"/>
          </w:p>
        </w:tc>
      </w:tr>
    </w:tbl>
    <w:p w14:paraId="4723D8E3" w14:textId="09360DAE" w:rsidR="00F571EC" w:rsidRDefault="00F571EC">
      <w:pPr>
        <w:rPr>
          <w:rFonts w:ascii="Comic Sans MS" w:hAnsi="Comic Sans MS"/>
          <w:sz w:val="24"/>
        </w:rPr>
      </w:pPr>
    </w:p>
    <w:sectPr w:rsidR="00F571EC" w:rsidSect="00046758">
      <w:headerReference w:type="default" r:id="rId8"/>
      <w:footerReference w:type="default" r:id="rId9"/>
      <w:pgSz w:w="15840" w:h="12240" w:orient="landscape" w:code="1"/>
      <w:pgMar w:top="446" w:right="864" w:bottom="547"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C4F42" w14:textId="77777777" w:rsidR="00D47138" w:rsidRDefault="00D47138">
      <w:r>
        <w:separator/>
      </w:r>
    </w:p>
  </w:endnote>
  <w:endnote w:type="continuationSeparator" w:id="0">
    <w:p w14:paraId="432B5F70" w14:textId="77777777" w:rsidR="00D47138" w:rsidRDefault="00D4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2915" w14:textId="77777777" w:rsidR="00D47138" w:rsidRDefault="00D47138">
    <w:pPr>
      <w:pStyle w:val="Footer"/>
      <w:rPr>
        <w:i/>
      </w:rPr>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5AF3" w14:textId="77777777" w:rsidR="00D47138" w:rsidRDefault="00D47138">
      <w:r>
        <w:separator/>
      </w:r>
    </w:p>
  </w:footnote>
  <w:footnote w:type="continuationSeparator" w:id="0">
    <w:p w14:paraId="4B738B56" w14:textId="77777777" w:rsidR="00D47138" w:rsidRDefault="00D47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82F3" w14:textId="77777777" w:rsidR="00D47138" w:rsidRDefault="00D47138">
    <w:pPr>
      <w:pStyle w:val="Heade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3C5"/>
    <w:multiLevelType w:val="hybridMultilevel"/>
    <w:tmpl w:val="EF18072C"/>
    <w:lvl w:ilvl="0" w:tplc="25C8D05A">
      <w:start w:val="1"/>
      <w:numFmt w:val="bullet"/>
      <w:lvlText w:val=""/>
      <w:lvlJc w:val="left"/>
      <w:pPr>
        <w:tabs>
          <w:tab w:val="num" w:pos="1080"/>
        </w:tabs>
        <w:ind w:left="1080" w:hanging="360"/>
      </w:pPr>
      <w:rPr>
        <w:rFonts w:ascii="Symbol" w:hAnsi="Symbol" w:hint="default"/>
      </w:rPr>
    </w:lvl>
    <w:lvl w:ilvl="1" w:tplc="91D4E31C" w:tentative="1">
      <w:start w:val="1"/>
      <w:numFmt w:val="bullet"/>
      <w:lvlText w:val="o"/>
      <w:lvlJc w:val="left"/>
      <w:pPr>
        <w:tabs>
          <w:tab w:val="num" w:pos="2160"/>
        </w:tabs>
        <w:ind w:left="2160" w:hanging="360"/>
      </w:pPr>
      <w:rPr>
        <w:rFonts w:ascii="Courier New" w:hAnsi="Courier New" w:hint="default"/>
      </w:rPr>
    </w:lvl>
    <w:lvl w:ilvl="2" w:tplc="6E82E2C8" w:tentative="1">
      <w:start w:val="1"/>
      <w:numFmt w:val="bullet"/>
      <w:lvlText w:val=""/>
      <w:lvlJc w:val="left"/>
      <w:pPr>
        <w:tabs>
          <w:tab w:val="num" w:pos="2880"/>
        </w:tabs>
        <w:ind w:left="2880" w:hanging="360"/>
      </w:pPr>
      <w:rPr>
        <w:rFonts w:ascii="Wingdings" w:hAnsi="Wingdings" w:hint="default"/>
      </w:rPr>
    </w:lvl>
    <w:lvl w:ilvl="3" w:tplc="B26EC854" w:tentative="1">
      <w:start w:val="1"/>
      <w:numFmt w:val="bullet"/>
      <w:lvlText w:val=""/>
      <w:lvlJc w:val="left"/>
      <w:pPr>
        <w:tabs>
          <w:tab w:val="num" w:pos="3600"/>
        </w:tabs>
        <w:ind w:left="3600" w:hanging="360"/>
      </w:pPr>
      <w:rPr>
        <w:rFonts w:ascii="Symbol" w:hAnsi="Symbol" w:hint="default"/>
      </w:rPr>
    </w:lvl>
    <w:lvl w:ilvl="4" w:tplc="C0949B9C" w:tentative="1">
      <w:start w:val="1"/>
      <w:numFmt w:val="bullet"/>
      <w:lvlText w:val="o"/>
      <w:lvlJc w:val="left"/>
      <w:pPr>
        <w:tabs>
          <w:tab w:val="num" w:pos="4320"/>
        </w:tabs>
        <w:ind w:left="4320" w:hanging="360"/>
      </w:pPr>
      <w:rPr>
        <w:rFonts w:ascii="Courier New" w:hAnsi="Courier New" w:hint="default"/>
      </w:rPr>
    </w:lvl>
    <w:lvl w:ilvl="5" w:tplc="413275C8" w:tentative="1">
      <w:start w:val="1"/>
      <w:numFmt w:val="bullet"/>
      <w:lvlText w:val=""/>
      <w:lvlJc w:val="left"/>
      <w:pPr>
        <w:tabs>
          <w:tab w:val="num" w:pos="5040"/>
        </w:tabs>
        <w:ind w:left="5040" w:hanging="360"/>
      </w:pPr>
      <w:rPr>
        <w:rFonts w:ascii="Wingdings" w:hAnsi="Wingdings" w:hint="default"/>
      </w:rPr>
    </w:lvl>
    <w:lvl w:ilvl="6" w:tplc="01C8AF78" w:tentative="1">
      <w:start w:val="1"/>
      <w:numFmt w:val="bullet"/>
      <w:lvlText w:val=""/>
      <w:lvlJc w:val="left"/>
      <w:pPr>
        <w:tabs>
          <w:tab w:val="num" w:pos="5760"/>
        </w:tabs>
        <w:ind w:left="5760" w:hanging="360"/>
      </w:pPr>
      <w:rPr>
        <w:rFonts w:ascii="Symbol" w:hAnsi="Symbol" w:hint="default"/>
      </w:rPr>
    </w:lvl>
    <w:lvl w:ilvl="7" w:tplc="217E4E78" w:tentative="1">
      <w:start w:val="1"/>
      <w:numFmt w:val="bullet"/>
      <w:lvlText w:val="o"/>
      <w:lvlJc w:val="left"/>
      <w:pPr>
        <w:tabs>
          <w:tab w:val="num" w:pos="6480"/>
        </w:tabs>
        <w:ind w:left="6480" w:hanging="360"/>
      </w:pPr>
      <w:rPr>
        <w:rFonts w:ascii="Courier New" w:hAnsi="Courier New" w:hint="default"/>
      </w:rPr>
    </w:lvl>
    <w:lvl w:ilvl="8" w:tplc="A3AA4C36" w:tentative="1">
      <w:start w:val="1"/>
      <w:numFmt w:val="bullet"/>
      <w:lvlText w:val=""/>
      <w:lvlJc w:val="left"/>
      <w:pPr>
        <w:tabs>
          <w:tab w:val="num" w:pos="7200"/>
        </w:tabs>
        <w:ind w:left="7200" w:hanging="360"/>
      </w:pPr>
      <w:rPr>
        <w:rFonts w:ascii="Wingdings" w:hAnsi="Wingdings" w:hint="default"/>
      </w:rPr>
    </w:lvl>
  </w:abstractNum>
  <w:abstractNum w:abstractNumId="1">
    <w:nsid w:val="3632609A"/>
    <w:multiLevelType w:val="hybridMultilevel"/>
    <w:tmpl w:val="A09E46EE"/>
    <w:lvl w:ilvl="0" w:tplc="4A588BCA">
      <w:start w:val="1"/>
      <w:numFmt w:val="bullet"/>
      <w:lvlText w:val=""/>
      <w:lvlJc w:val="left"/>
      <w:pPr>
        <w:tabs>
          <w:tab w:val="num" w:pos="1080"/>
        </w:tabs>
        <w:ind w:left="1080" w:hanging="360"/>
      </w:pPr>
      <w:rPr>
        <w:rFonts w:ascii="Symbol" w:hAnsi="Symbol" w:hint="default"/>
      </w:rPr>
    </w:lvl>
    <w:lvl w:ilvl="1" w:tplc="68A61E40">
      <w:start w:val="1"/>
      <w:numFmt w:val="bullet"/>
      <w:lvlText w:val="o"/>
      <w:lvlJc w:val="left"/>
      <w:pPr>
        <w:tabs>
          <w:tab w:val="num" w:pos="2160"/>
        </w:tabs>
        <w:ind w:left="2160" w:hanging="360"/>
      </w:pPr>
      <w:rPr>
        <w:rFonts w:ascii="Courier New" w:hAnsi="Courier New" w:hint="default"/>
      </w:rPr>
    </w:lvl>
    <w:lvl w:ilvl="2" w:tplc="E67EF2DE">
      <w:start w:val="1"/>
      <w:numFmt w:val="bullet"/>
      <w:lvlText w:val=""/>
      <w:lvlJc w:val="left"/>
      <w:pPr>
        <w:tabs>
          <w:tab w:val="num" w:pos="2880"/>
        </w:tabs>
        <w:ind w:left="2880" w:hanging="360"/>
      </w:pPr>
      <w:rPr>
        <w:rFonts w:ascii="Symbol" w:hAnsi="Symbol" w:hint="default"/>
      </w:rPr>
    </w:lvl>
    <w:lvl w:ilvl="3" w:tplc="B2A6244E">
      <w:start w:val="1"/>
      <w:numFmt w:val="bullet"/>
      <w:lvlText w:val="o"/>
      <w:lvlJc w:val="left"/>
      <w:pPr>
        <w:tabs>
          <w:tab w:val="num" w:pos="3600"/>
        </w:tabs>
        <w:ind w:left="3600" w:hanging="360"/>
      </w:pPr>
      <w:rPr>
        <w:rFonts w:ascii="Courier New" w:hAnsi="Courier New" w:hint="default"/>
      </w:rPr>
    </w:lvl>
    <w:lvl w:ilvl="4" w:tplc="1E3A1A52">
      <w:start w:val="1"/>
      <w:numFmt w:val="bullet"/>
      <w:lvlText w:val=""/>
      <w:lvlJc w:val="left"/>
      <w:pPr>
        <w:tabs>
          <w:tab w:val="num" w:pos="4320"/>
        </w:tabs>
        <w:ind w:left="4320" w:hanging="360"/>
      </w:pPr>
      <w:rPr>
        <w:rFonts w:ascii="Symbol" w:hAnsi="Symbol" w:hint="default"/>
      </w:rPr>
    </w:lvl>
    <w:lvl w:ilvl="5" w:tplc="029A19C4">
      <w:start w:val="1"/>
      <w:numFmt w:val="bullet"/>
      <w:lvlText w:val=""/>
      <w:lvlJc w:val="left"/>
      <w:pPr>
        <w:tabs>
          <w:tab w:val="num" w:pos="5040"/>
        </w:tabs>
        <w:ind w:left="5040" w:hanging="360"/>
      </w:pPr>
      <w:rPr>
        <w:rFonts w:ascii="Wingdings" w:hAnsi="Wingdings" w:hint="default"/>
      </w:rPr>
    </w:lvl>
    <w:lvl w:ilvl="6" w:tplc="FE523594" w:tentative="1">
      <w:start w:val="1"/>
      <w:numFmt w:val="bullet"/>
      <w:lvlText w:val=""/>
      <w:lvlJc w:val="left"/>
      <w:pPr>
        <w:tabs>
          <w:tab w:val="num" w:pos="5760"/>
        </w:tabs>
        <w:ind w:left="5760" w:hanging="360"/>
      </w:pPr>
      <w:rPr>
        <w:rFonts w:ascii="Symbol" w:hAnsi="Symbol" w:hint="default"/>
      </w:rPr>
    </w:lvl>
    <w:lvl w:ilvl="7" w:tplc="C4D485A0" w:tentative="1">
      <w:start w:val="1"/>
      <w:numFmt w:val="bullet"/>
      <w:lvlText w:val="o"/>
      <w:lvlJc w:val="left"/>
      <w:pPr>
        <w:tabs>
          <w:tab w:val="num" w:pos="6480"/>
        </w:tabs>
        <w:ind w:left="6480" w:hanging="360"/>
      </w:pPr>
      <w:rPr>
        <w:rFonts w:ascii="Courier New" w:hAnsi="Courier New" w:hint="default"/>
      </w:rPr>
    </w:lvl>
    <w:lvl w:ilvl="8" w:tplc="EA50B5DE" w:tentative="1">
      <w:start w:val="1"/>
      <w:numFmt w:val="bullet"/>
      <w:lvlText w:val=""/>
      <w:lvlJc w:val="left"/>
      <w:pPr>
        <w:tabs>
          <w:tab w:val="num" w:pos="7200"/>
        </w:tabs>
        <w:ind w:left="7200" w:hanging="360"/>
      </w:pPr>
      <w:rPr>
        <w:rFonts w:ascii="Wingdings" w:hAnsi="Wingdings" w:hint="default"/>
      </w:rPr>
    </w:lvl>
  </w:abstractNum>
  <w:abstractNum w:abstractNumId="2">
    <w:nsid w:val="41AF0D58"/>
    <w:multiLevelType w:val="hybridMultilevel"/>
    <w:tmpl w:val="4F5876BC"/>
    <w:lvl w:ilvl="0" w:tplc="2C1E0822">
      <w:start w:val="1"/>
      <w:numFmt w:val="bullet"/>
      <w:lvlText w:val=""/>
      <w:lvlJc w:val="left"/>
      <w:pPr>
        <w:tabs>
          <w:tab w:val="num" w:pos="1080"/>
        </w:tabs>
        <w:ind w:left="1080" w:hanging="360"/>
      </w:pPr>
      <w:rPr>
        <w:rFonts w:ascii="Symbol" w:hAnsi="Symbol" w:hint="default"/>
      </w:rPr>
    </w:lvl>
    <w:lvl w:ilvl="1" w:tplc="53020F12" w:tentative="1">
      <w:start w:val="1"/>
      <w:numFmt w:val="bullet"/>
      <w:lvlText w:val="o"/>
      <w:lvlJc w:val="left"/>
      <w:pPr>
        <w:tabs>
          <w:tab w:val="num" w:pos="2160"/>
        </w:tabs>
        <w:ind w:left="2160" w:hanging="360"/>
      </w:pPr>
      <w:rPr>
        <w:rFonts w:ascii="Courier New" w:hAnsi="Courier New" w:hint="default"/>
      </w:rPr>
    </w:lvl>
    <w:lvl w:ilvl="2" w:tplc="74600A50" w:tentative="1">
      <w:start w:val="1"/>
      <w:numFmt w:val="bullet"/>
      <w:lvlText w:val=""/>
      <w:lvlJc w:val="left"/>
      <w:pPr>
        <w:tabs>
          <w:tab w:val="num" w:pos="2880"/>
        </w:tabs>
        <w:ind w:left="2880" w:hanging="360"/>
      </w:pPr>
      <w:rPr>
        <w:rFonts w:ascii="Wingdings" w:hAnsi="Wingdings" w:hint="default"/>
      </w:rPr>
    </w:lvl>
    <w:lvl w:ilvl="3" w:tplc="04E077D8" w:tentative="1">
      <w:start w:val="1"/>
      <w:numFmt w:val="bullet"/>
      <w:lvlText w:val=""/>
      <w:lvlJc w:val="left"/>
      <w:pPr>
        <w:tabs>
          <w:tab w:val="num" w:pos="3600"/>
        </w:tabs>
        <w:ind w:left="3600" w:hanging="360"/>
      </w:pPr>
      <w:rPr>
        <w:rFonts w:ascii="Symbol" w:hAnsi="Symbol" w:hint="default"/>
      </w:rPr>
    </w:lvl>
    <w:lvl w:ilvl="4" w:tplc="FDB48684" w:tentative="1">
      <w:start w:val="1"/>
      <w:numFmt w:val="bullet"/>
      <w:lvlText w:val="o"/>
      <w:lvlJc w:val="left"/>
      <w:pPr>
        <w:tabs>
          <w:tab w:val="num" w:pos="4320"/>
        </w:tabs>
        <w:ind w:left="4320" w:hanging="360"/>
      </w:pPr>
      <w:rPr>
        <w:rFonts w:ascii="Courier New" w:hAnsi="Courier New" w:hint="default"/>
      </w:rPr>
    </w:lvl>
    <w:lvl w:ilvl="5" w:tplc="F6DE5E16" w:tentative="1">
      <w:start w:val="1"/>
      <w:numFmt w:val="bullet"/>
      <w:lvlText w:val=""/>
      <w:lvlJc w:val="left"/>
      <w:pPr>
        <w:tabs>
          <w:tab w:val="num" w:pos="5040"/>
        </w:tabs>
        <w:ind w:left="5040" w:hanging="360"/>
      </w:pPr>
      <w:rPr>
        <w:rFonts w:ascii="Wingdings" w:hAnsi="Wingdings" w:hint="default"/>
      </w:rPr>
    </w:lvl>
    <w:lvl w:ilvl="6" w:tplc="F370B76E" w:tentative="1">
      <w:start w:val="1"/>
      <w:numFmt w:val="bullet"/>
      <w:lvlText w:val=""/>
      <w:lvlJc w:val="left"/>
      <w:pPr>
        <w:tabs>
          <w:tab w:val="num" w:pos="5760"/>
        </w:tabs>
        <w:ind w:left="5760" w:hanging="360"/>
      </w:pPr>
      <w:rPr>
        <w:rFonts w:ascii="Symbol" w:hAnsi="Symbol" w:hint="default"/>
      </w:rPr>
    </w:lvl>
    <w:lvl w:ilvl="7" w:tplc="A48C22C2" w:tentative="1">
      <w:start w:val="1"/>
      <w:numFmt w:val="bullet"/>
      <w:lvlText w:val="o"/>
      <w:lvlJc w:val="left"/>
      <w:pPr>
        <w:tabs>
          <w:tab w:val="num" w:pos="6480"/>
        </w:tabs>
        <w:ind w:left="6480" w:hanging="360"/>
      </w:pPr>
      <w:rPr>
        <w:rFonts w:ascii="Courier New" w:hAnsi="Courier New" w:hint="default"/>
      </w:rPr>
    </w:lvl>
    <w:lvl w:ilvl="8" w:tplc="D2F0DEDC" w:tentative="1">
      <w:start w:val="1"/>
      <w:numFmt w:val="bullet"/>
      <w:lvlText w:val=""/>
      <w:lvlJc w:val="left"/>
      <w:pPr>
        <w:tabs>
          <w:tab w:val="num" w:pos="7200"/>
        </w:tabs>
        <w:ind w:left="7200" w:hanging="360"/>
      </w:pPr>
      <w:rPr>
        <w:rFonts w:ascii="Wingdings" w:hAnsi="Wingdings" w:hint="default"/>
      </w:rPr>
    </w:lvl>
  </w:abstractNum>
  <w:abstractNum w:abstractNumId="3">
    <w:nsid w:val="4BF54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7480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A1F64E2"/>
    <w:multiLevelType w:val="hybridMultilevel"/>
    <w:tmpl w:val="181C3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4F0F39"/>
    <w:multiLevelType w:val="hybridMultilevel"/>
    <w:tmpl w:val="4C9A302E"/>
    <w:lvl w:ilvl="0" w:tplc="70248982">
      <w:start w:val="1"/>
      <w:numFmt w:val="bullet"/>
      <w:lvlText w:val=""/>
      <w:lvlJc w:val="left"/>
      <w:pPr>
        <w:tabs>
          <w:tab w:val="num" w:pos="1440"/>
        </w:tabs>
        <w:ind w:left="1440" w:hanging="360"/>
      </w:pPr>
      <w:rPr>
        <w:rFonts w:ascii="Symbol" w:hAnsi="Symbol" w:hint="default"/>
      </w:rPr>
    </w:lvl>
    <w:lvl w:ilvl="1" w:tplc="BC5ED55C" w:tentative="1">
      <w:start w:val="1"/>
      <w:numFmt w:val="bullet"/>
      <w:lvlText w:val="o"/>
      <w:lvlJc w:val="left"/>
      <w:pPr>
        <w:tabs>
          <w:tab w:val="num" w:pos="2160"/>
        </w:tabs>
        <w:ind w:left="2160" w:hanging="360"/>
      </w:pPr>
      <w:rPr>
        <w:rFonts w:ascii="Courier New" w:hAnsi="Courier New" w:hint="default"/>
      </w:rPr>
    </w:lvl>
    <w:lvl w:ilvl="2" w:tplc="B23A0746" w:tentative="1">
      <w:start w:val="1"/>
      <w:numFmt w:val="bullet"/>
      <w:lvlText w:val=""/>
      <w:lvlJc w:val="left"/>
      <w:pPr>
        <w:tabs>
          <w:tab w:val="num" w:pos="2880"/>
        </w:tabs>
        <w:ind w:left="2880" w:hanging="360"/>
      </w:pPr>
      <w:rPr>
        <w:rFonts w:ascii="Wingdings" w:hAnsi="Wingdings" w:hint="default"/>
      </w:rPr>
    </w:lvl>
    <w:lvl w:ilvl="3" w:tplc="6E4009CA" w:tentative="1">
      <w:start w:val="1"/>
      <w:numFmt w:val="bullet"/>
      <w:lvlText w:val=""/>
      <w:lvlJc w:val="left"/>
      <w:pPr>
        <w:tabs>
          <w:tab w:val="num" w:pos="3600"/>
        </w:tabs>
        <w:ind w:left="3600" w:hanging="360"/>
      </w:pPr>
      <w:rPr>
        <w:rFonts w:ascii="Symbol" w:hAnsi="Symbol" w:hint="default"/>
      </w:rPr>
    </w:lvl>
    <w:lvl w:ilvl="4" w:tplc="E8AC9BA8" w:tentative="1">
      <w:start w:val="1"/>
      <w:numFmt w:val="bullet"/>
      <w:lvlText w:val="o"/>
      <w:lvlJc w:val="left"/>
      <w:pPr>
        <w:tabs>
          <w:tab w:val="num" w:pos="4320"/>
        </w:tabs>
        <w:ind w:left="4320" w:hanging="360"/>
      </w:pPr>
      <w:rPr>
        <w:rFonts w:ascii="Courier New" w:hAnsi="Courier New" w:hint="default"/>
      </w:rPr>
    </w:lvl>
    <w:lvl w:ilvl="5" w:tplc="EC5E950A" w:tentative="1">
      <w:start w:val="1"/>
      <w:numFmt w:val="bullet"/>
      <w:lvlText w:val=""/>
      <w:lvlJc w:val="left"/>
      <w:pPr>
        <w:tabs>
          <w:tab w:val="num" w:pos="5040"/>
        </w:tabs>
        <w:ind w:left="5040" w:hanging="360"/>
      </w:pPr>
      <w:rPr>
        <w:rFonts w:ascii="Wingdings" w:hAnsi="Wingdings" w:hint="default"/>
      </w:rPr>
    </w:lvl>
    <w:lvl w:ilvl="6" w:tplc="2D2AF7A8" w:tentative="1">
      <w:start w:val="1"/>
      <w:numFmt w:val="bullet"/>
      <w:lvlText w:val=""/>
      <w:lvlJc w:val="left"/>
      <w:pPr>
        <w:tabs>
          <w:tab w:val="num" w:pos="5760"/>
        </w:tabs>
        <w:ind w:left="5760" w:hanging="360"/>
      </w:pPr>
      <w:rPr>
        <w:rFonts w:ascii="Symbol" w:hAnsi="Symbol" w:hint="default"/>
      </w:rPr>
    </w:lvl>
    <w:lvl w:ilvl="7" w:tplc="7F60E78A" w:tentative="1">
      <w:start w:val="1"/>
      <w:numFmt w:val="bullet"/>
      <w:lvlText w:val="o"/>
      <w:lvlJc w:val="left"/>
      <w:pPr>
        <w:tabs>
          <w:tab w:val="num" w:pos="6480"/>
        </w:tabs>
        <w:ind w:left="6480" w:hanging="360"/>
      </w:pPr>
      <w:rPr>
        <w:rFonts w:ascii="Courier New" w:hAnsi="Courier New" w:hint="default"/>
      </w:rPr>
    </w:lvl>
    <w:lvl w:ilvl="8" w:tplc="15C68CB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59"/>
    <w:rsid w:val="00046758"/>
    <w:rsid w:val="000F5403"/>
    <w:rsid w:val="00224EE4"/>
    <w:rsid w:val="002F7C77"/>
    <w:rsid w:val="003D29CB"/>
    <w:rsid w:val="0041437C"/>
    <w:rsid w:val="00484C1C"/>
    <w:rsid w:val="00533B46"/>
    <w:rsid w:val="00615751"/>
    <w:rsid w:val="00620401"/>
    <w:rsid w:val="0065640F"/>
    <w:rsid w:val="0067157C"/>
    <w:rsid w:val="00722E42"/>
    <w:rsid w:val="00771C1F"/>
    <w:rsid w:val="007C4B0F"/>
    <w:rsid w:val="008D11F1"/>
    <w:rsid w:val="008E2F85"/>
    <w:rsid w:val="008E495F"/>
    <w:rsid w:val="009C1965"/>
    <w:rsid w:val="009E44B0"/>
    <w:rsid w:val="00A5729F"/>
    <w:rsid w:val="00A85FAC"/>
    <w:rsid w:val="00B6795D"/>
    <w:rsid w:val="00B94F13"/>
    <w:rsid w:val="00CA49C7"/>
    <w:rsid w:val="00D23959"/>
    <w:rsid w:val="00D47138"/>
    <w:rsid w:val="00D934B8"/>
    <w:rsid w:val="00DB70F5"/>
    <w:rsid w:val="00DF5960"/>
    <w:rsid w:val="00E35926"/>
    <w:rsid w:val="00EA29C6"/>
    <w:rsid w:val="00F571EC"/>
    <w:rsid w:val="00F62CE4"/>
    <w:rsid w:val="00F931C2"/>
    <w:rsid w:val="00FB34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92A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8"/>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rFonts w:ascii="Comic Sans MS" w:hAnsi="Comic Sans MS"/>
      <w:b/>
      <w:sz w:val="24"/>
    </w:rPr>
  </w:style>
  <w:style w:type="paragraph" w:styleId="Heading5">
    <w:name w:val="heading 5"/>
    <w:basedOn w:val="Normal"/>
    <w:next w:val="Normal"/>
    <w:qFormat/>
    <w:pPr>
      <w:keepNext/>
      <w:ind w:left="720"/>
      <w:jc w:val="center"/>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C4B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8"/>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rFonts w:ascii="Comic Sans MS" w:hAnsi="Comic Sans MS"/>
      <w:b/>
      <w:sz w:val="24"/>
    </w:rPr>
  </w:style>
  <w:style w:type="paragraph" w:styleId="Heading5">
    <w:name w:val="heading 5"/>
    <w:basedOn w:val="Normal"/>
    <w:next w:val="Normal"/>
    <w:qFormat/>
    <w:pPr>
      <w:keepNext/>
      <w:ind w:left="720"/>
      <w:jc w:val="center"/>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C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565</Words>
  <Characters>3223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CCL KII/Grade 1 Inquiry</vt:lpstr>
    </vt:vector>
  </TitlesOfParts>
  <Company>Boston Public Schools</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 KII/Grade 1 Inquiry</dc:title>
  <dc:subject/>
  <dc:creator>BPS Computer</dc:creator>
  <cp:keywords/>
  <dc:description/>
  <cp:lastModifiedBy>Natalie LaCroix-White</cp:lastModifiedBy>
  <cp:revision>5</cp:revision>
  <cp:lastPrinted>2015-03-12T14:08:00Z</cp:lastPrinted>
  <dcterms:created xsi:type="dcterms:W3CDTF">2015-03-17T16:22:00Z</dcterms:created>
  <dcterms:modified xsi:type="dcterms:W3CDTF">2015-03-24T19:36:00Z</dcterms:modified>
</cp:coreProperties>
</file>